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46BB3" w:rsidTr="00046BB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46BB3" w:rsidRDefault="00046BB3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6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567F8A" w:rsidRPr="00422742" w:rsidRDefault="00567F8A" w:rsidP="00567F8A">
      <w:pPr>
        <w:pStyle w:val="INormal"/>
        <w:spacing w:after="0"/>
        <w:rPr>
          <w:sz w:val="16"/>
          <w:szCs w:val="16"/>
          <w:lang w:val="la-Latn"/>
        </w:rPr>
      </w:pPr>
    </w:p>
    <w:p w:rsidR="00567F8A" w:rsidRPr="00422742" w:rsidRDefault="00567F8A" w:rsidP="00567F8A">
      <w:pPr>
        <w:pStyle w:val="INormal"/>
        <w:rPr>
          <w:b/>
          <w:sz w:val="24"/>
          <w:szCs w:val="24"/>
          <w:lang w:val="la-Latn"/>
        </w:rPr>
      </w:pPr>
      <w:r w:rsidRPr="00422742">
        <w:rPr>
          <w:b/>
          <w:sz w:val="24"/>
          <w:szCs w:val="24"/>
          <w:lang w:val="la-Latn"/>
        </w:rPr>
        <w:t>Službeni naziv:</w:t>
      </w:r>
      <w:r w:rsidRPr="00422742">
        <w:rPr>
          <w:b/>
          <w:sz w:val="24"/>
          <w:szCs w:val="24"/>
          <w:lang w:val="la-Latn"/>
        </w:rPr>
        <w:tab/>
      </w:r>
      <w:r w:rsidRPr="00422742">
        <w:rPr>
          <w:sz w:val="24"/>
          <w:szCs w:val="24"/>
          <w:lang w:val="la-Latn"/>
        </w:rPr>
        <w:t>Republika Slovenija</w:t>
      </w:r>
    </w:p>
    <w:p w:rsidR="00567F8A" w:rsidRPr="00422742" w:rsidRDefault="00567F8A" w:rsidP="00567F8A">
      <w:pPr>
        <w:pStyle w:val="INormal"/>
        <w:rPr>
          <w:b/>
          <w:sz w:val="24"/>
          <w:szCs w:val="24"/>
          <w:lang w:val="la-Latn"/>
        </w:rPr>
      </w:pPr>
      <w:r w:rsidRPr="00422742">
        <w:rPr>
          <w:b/>
          <w:sz w:val="24"/>
          <w:szCs w:val="24"/>
          <w:lang w:val="la-Latn"/>
        </w:rPr>
        <w:t xml:space="preserve">Glavni grad: </w:t>
      </w:r>
      <w:r w:rsidRPr="00422742">
        <w:rPr>
          <w:b/>
          <w:sz w:val="24"/>
          <w:szCs w:val="24"/>
          <w:lang w:val="la-Latn"/>
        </w:rPr>
        <w:tab/>
      </w:r>
      <w:r w:rsidRPr="00422742">
        <w:rPr>
          <w:sz w:val="24"/>
          <w:szCs w:val="24"/>
          <w:lang w:val="la-Latn"/>
        </w:rPr>
        <w:t>Ljubljana</w:t>
      </w:r>
    </w:p>
    <w:p w:rsidR="00567F8A" w:rsidRPr="00422742" w:rsidRDefault="00567F8A" w:rsidP="00567F8A">
      <w:pPr>
        <w:pStyle w:val="INormal"/>
        <w:rPr>
          <w:sz w:val="24"/>
          <w:szCs w:val="24"/>
          <w:lang w:val="la-Latn"/>
        </w:rPr>
      </w:pPr>
      <w:r w:rsidRPr="00422742">
        <w:rPr>
          <w:b/>
          <w:sz w:val="24"/>
          <w:szCs w:val="24"/>
          <w:lang w:val="la-Latn"/>
        </w:rPr>
        <w:t>Površina:</w:t>
      </w:r>
      <w:r w:rsidRPr="00422742">
        <w:rPr>
          <w:b/>
          <w:sz w:val="24"/>
          <w:szCs w:val="24"/>
          <w:lang w:val="la-Latn"/>
        </w:rPr>
        <w:tab/>
      </w:r>
      <w:r w:rsidRPr="00422742">
        <w:rPr>
          <w:sz w:val="24"/>
          <w:szCs w:val="24"/>
          <w:lang w:val="la-Latn"/>
        </w:rPr>
        <w:t>20</w:t>
      </w:r>
      <w:r w:rsidR="00B150FD" w:rsidRPr="00422742">
        <w:rPr>
          <w:sz w:val="24"/>
          <w:szCs w:val="24"/>
          <w:lang w:val="la-Latn"/>
        </w:rPr>
        <w:t>.256 km</w:t>
      </w:r>
      <w:r w:rsidR="00B150FD" w:rsidRPr="00422742">
        <w:rPr>
          <w:sz w:val="24"/>
          <w:szCs w:val="24"/>
          <w:vertAlign w:val="superscript"/>
          <w:lang w:val="la-Latn"/>
        </w:rPr>
        <w:t>2</w:t>
      </w:r>
      <w:r w:rsidRPr="00422742">
        <w:rPr>
          <w:sz w:val="24"/>
          <w:szCs w:val="24"/>
          <w:lang w:val="la-Latn"/>
        </w:rPr>
        <w:tab/>
      </w:r>
    </w:p>
    <w:p w:rsidR="00567F8A" w:rsidRPr="00422742" w:rsidRDefault="00567F8A" w:rsidP="00567F8A">
      <w:pPr>
        <w:pStyle w:val="INormal"/>
        <w:rPr>
          <w:b/>
          <w:sz w:val="24"/>
          <w:szCs w:val="24"/>
          <w:lang w:val="la-Latn"/>
        </w:rPr>
      </w:pPr>
      <w:r w:rsidRPr="00422742">
        <w:rPr>
          <w:b/>
          <w:sz w:val="24"/>
          <w:szCs w:val="24"/>
          <w:lang w:val="la-Latn"/>
        </w:rPr>
        <w:t>Broj stanovnika:</w:t>
      </w:r>
      <w:r w:rsidRPr="00422742">
        <w:rPr>
          <w:b/>
          <w:sz w:val="24"/>
          <w:szCs w:val="24"/>
          <w:lang w:val="la-Latn"/>
        </w:rPr>
        <w:tab/>
      </w:r>
      <w:r w:rsidRPr="00422742">
        <w:rPr>
          <w:sz w:val="24"/>
          <w:szCs w:val="24"/>
          <w:lang w:val="la-Latn"/>
        </w:rPr>
        <w:t>2</w:t>
      </w:r>
      <w:r w:rsidR="00B150FD" w:rsidRPr="00422742">
        <w:rPr>
          <w:sz w:val="24"/>
          <w:szCs w:val="24"/>
          <w:lang w:val="la-Latn"/>
        </w:rPr>
        <w:t>.</w:t>
      </w:r>
      <w:r w:rsidRPr="00422742">
        <w:rPr>
          <w:sz w:val="24"/>
          <w:szCs w:val="24"/>
          <w:lang w:val="la-Latn"/>
        </w:rPr>
        <w:t>050</w:t>
      </w:r>
      <w:r w:rsidR="00B150FD" w:rsidRPr="00422742">
        <w:rPr>
          <w:sz w:val="24"/>
          <w:szCs w:val="24"/>
          <w:lang w:val="la-Latn"/>
        </w:rPr>
        <w:t>.</w:t>
      </w:r>
      <w:r w:rsidRPr="00422742">
        <w:rPr>
          <w:sz w:val="24"/>
          <w:szCs w:val="24"/>
          <w:lang w:val="la-Latn"/>
        </w:rPr>
        <w:t xml:space="preserve">189 </w:t>
      </w:r>
    </w:p>
    <w:p w:rsidR="00567F8A" w:rsidRPr="00422742" w:rsidRDefault="00567F8A" w:rsidP="00567F8A">
      <w:pPr>
        <w:pStyle w:val="INormal"/>
        <w:rPr>
          <w:sz w:val="24"/>
          <w:szCs w:val="24"/>
          <w:lang w:val="la-Latn"/>
        </w:rPr>
      </w:pPr>
      <w:r w:rsidRPr="00422742">
        <w:rPr>
          <w:b/>
          <w:sz w:val="24"/>
          <w:szCs w:val="24"/>
          <w:lang w:val="la-Latn"/>
        </w:rPr>
        <w:t>Službeni jezik:</w:t>
      </w:r>
      <w:r w:rsidRPr="00422742">
        <w:rPr>
          <w:b/>
          <w:sz w:val="24"/>
          <w:szCs w:val="24"/>
          <w:lang w:val="la-Latn"/>
        </w:rPr>
        <w:tab/>
      </w:r>
      <w:r w:rsidRPr="00422742">
        <w:rPr>
          <w:sz w:val="24"/>
          <w:szCs w:val="24"/>
          <w:lang w:val="la-Latn"/>
        </w:rPr>
        <w:t>slovenski</w:t>
      </w:r>
    </w:p>
    <w:p w:rsidR="00567F8A" w:rsidRDefault="00567F8A" w:rsidP="004F043E">
      <w:pPr>
        <w:pStyle w:val="INormal"/>
        <w:rPr>
          <w:sz w:val="24"/>
          <w:szCs w:val="24"/>
          <w:lang w:val="la-Latn"/>
        </w:rPr>
      </w:pPr>
      <w:r w:rsidRPr="00422742">
        <w:rPr>
          <w:b/>
          <w:sz w:val="24"/>
          <w:szCs w:val="24"/>
          <w:lang w:val="la-Latn"/>
        </w:rPr>
        <w:t>Članstvo u međunarodnim gospodarskim organizacijama:</w:t>
      </w:r>
      <w:r w:rsidR="004F043E">
        <w:rPr>
          <w:b/>
          <w:sz w:val="24"/>
          <w:szCs w:val="24"/>
          <w:lang w:val="hr-HR"/>
        </w:rPr>
        <w:t xml:space="preserve"> </w:t>
      </w:r>
      <w:r w:rsidRPr="00422742">
        <w:rPr>
          <w:sz w:val="24"/>
          <w:szCs w:val="24"/>
          <w:lang w:val="la-Latn"/>
        </w:rPr>
        <w:t>EU, WTO, OECD, IMF, IBRD, EBRD, FAO, EMU</w:t>
      </w:r>
      <w:r w:rsidR="00A10C91" w:rsidRPr="00422742">
        <w:rPr>
          <w:sz w:val="24"/>
          <w:szCs w:val="24"/>
          <w:lang w:val="la-Latn"/>
        </w:rPr>
        <w:t xml:space="preserve"> i dr.</w:t>
      </w:r>
    </w:p>
    <w:p w:rsidR="004F043E" w:rsidRDefault="004F043E" w:rsidP="004F043E">
      <w:pPr>
        <w:pStyle w:val="INormal"/>
        <w:spacing w:before="120"/>
        <w:rPr>
          <w:sz w:val="24"/>
          <w:szCs w:val="24"/>
          <w:lang w:val="la-Lat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F043E" w:rsidTr="004F043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F043E" w:rsidRDefault="004F043E" w:rsidP="004F043E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Makroekonomski pokazatelji</w:t>
            </w:r>
          </w:p>
        </w:tc>
      </w:tr>
    </w:tbl>
    <w:p w:rsidR="004F043E" w:rsidRPr="00422742" w:rsidRDefault="004F043E" w:rsidP="004F043E">
      <w:pPr>
        <w:pStyle w:val="INormal"/>
        <w:rPr>
          <w:sz w:val="24"/>
          <w:szCs w:val="24"/>
          <w:lang w:val="la-Latn"/>
        </w:rPr>
      </w:pPr>
    </w:p>
    <w:tbl>
      <w:tblPr>
        <w:tblW w:w="9211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61"/>
        <w:gridCol w:w="1190"/>
        <w:gridCol w:w="1190"/>
        <w:gridCol w:w="1190"/>
        <w:gridCol w:w="1190"/>
        <w:gridCol w:w="1190"/>
      </w:tblGrid>
      <w:tr w:rsidR="0010177F" w:rsidRPr="00422742" w:rsidTr="006A1759">
        <w:trPr>
          <w:trHeight w:val="623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10177F" w:rsidRPr="00422742" w:rsidRDefault="0010177F" w:rsidP="0010177F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</w:p>
        </w:tc>
        <w:tc>
          <w:tcPr>
            <w:tcW w:w="1150" w:type="dxa"/>
            <w:shd w:val="clear" w:color="auto" w:fill="9CC2E5" w:themeFill="accent1" w:themeFillTint="99"/>
            <w:vAlign w:val="center"/>
          </w:tcPr>
          <w:p w:rsidR="0010177F" w:rsidRPr="00422742" w:rsidRDefault="0010177F" w:rsidP="0010177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 w:rsidRPr="00422742">
              <w:rPr>
                <w:rFonts w:cs="Arial"/>
                <w:b/>
                <w:sz w:val="24"/>
                <w:szCs w:val="24"/>
                <w:lang w:val="hr-HR"/>
              </w:rPr>
              <w:t>7</w:t>
            </w: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150" w:type="dxa"/>
            <w:shd w:val="clear" w:color="auto" w:fill="9CC2E5" w:themeFill="accent1" w:themeFillTint="99"/>
            <w:vAlign w:val="center"/>
          </w:tcPr>
          <w:p w:rsidR="0010177F" w:rsidRPr="00422742" w:rsidRDefault="0010177F" w:rsidP="0010177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 w:rsidRPr="00422742">
              <w:rPr>
                <w:rFonts w:cs="Arial"/>
                <w:b/>
                <w:sz w:val="24"/>
                <w:szCs w:val="24"/>
                <w:lang w:val="hr-HR"/>
              </w:rPr>
              <w:t>8</w:t>
            </w: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150" w:type="dxa"/>
            <w:shd w:val="clear" w:color="auto" w:fill="9CC2E5" w:themeFill="accent1" w:themeFillTint="99"/>
            <w:vAlign w:val="center"/>
          </w:tcPr>
          <w:p w:rsidR="0010177F" w:rsidRPr="00422742" w:rsidRDefault="0010177F" w:rsidP="0010177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150" w:type="dxa"/>
            <w:shd w:val="clear" w:color="auto" w:fill="9CC2E5" w:themeFill="accent1" w:themeFillTint="99"/>
            <w:vAlign w:val="center"/>
          </w:tcPr>
          <w:p w:rsidR="0010177F" w:rsidRPr="00422742" w:rsidRDefault="0010177F" w:rsidP="0010177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 w:rsidRPr="00422742">
              <w:rPr>
                <w:rFonts w:cs="Arial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130" w:type="dxa"/>
            <w:shd w:val="clear" w:color="auto" w:fill="9CC2E5" w:themeFill="accent1" w:themeFillTint="99"/>
            <w:vAlign w:val="center"/>
          </w:tcPr>
          <w:p w:rsidR="0010177F" w:rsidRPr="00CC1F27" w:rsidRDefault="00CC1F27" w:rsidP="0010177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10177F" w:rsidRPr="00422742" w:rsidTr="006A1759">
        <w:trPr>
          <w:trHeight w:val="560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10177F" w:rsidRPr="00422742" w:rsidRDefault="0010177F" w:rsidP="0010177F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BDP, tekuće cijene</w:t>
            </w:r>
          </w:p>
          <w:p w:rsidR="0010177F" w:rsidRPr="00422742" w:rsidRDefault="0010177F" w:rsidP="0010177F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(milijardi EUR)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sz w:val="24"/>
                <w:szCs w:val="24"/>
                <w:lang w:val="la-Latn"/>
              </w:rPr>
              <w:t>42,9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45,9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48,2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F5828" w:rsidRDefault="0010177F" w:rsidP="0010177F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46,3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0177F" w:rsidRPr="00266E82" w:rsidRDefault="00266E82" w:rsidP="0010177F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52,2</w:t>
            </w:r>
          </w:p>
        </w:tc>
      </w:tr>
      <w:tr w:rsidR="0010177F" w:rsidRPr="00422742" w:rsidTr="006A1759">
        <w:trPr>
          <w:trHeight w:val="544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10177F" w:rsidRPr="00422742" w:rsidRDefault="0010177F" w:rsidP="0010177F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BDP po stanovniku (EUR)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sz w:val="24"/>
                <w:szCs w:val="24"/>
                <w:lang w:val="la-Latn"/>
              </w:rPr>
              <w:t>20 810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22 080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22 983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F5828" w:rsidRDefault="0010177F" w:rsidP="0010177F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22 585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0177F" w:rsidRPr="00266E82" w:rsidRDefault="00266E82" w:rsidP="0010177F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24 770</w:t>
            </w:r>
          </w:p>
        </w:tc>
      </w:tr>
      <w:tr w:rsidR="0010177F" w:rsidRPr="00422742" w:rsidTr="006A1759">
        <w:trPr>
          <w:trHeight w:val="510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10177F" w:rsidRPr="00422742" w:rsidRDefault="0010177F" w:rsidP="0010177F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sz w:val="24"/>
                <w:szCs w:val="24"/>
                <w:lang w:val="la-Latn"/>
              </w:rPr>
              <w:t>5,0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3,4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2,4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9E79F1" w:rsidRDefault="0010177F" w:rsidP="00512A6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</w:t>
            </w:r>
            <w:r w:rsidR="00512A67">
              <w:rPr>
                <w:rFonts w:cs="Arial"/>
                <w:sz w:val="24"/>
                <w:szCs w:val="24"/>
                <w:lang w:val="hr-HR"/>
              </w:rPr>
              <w:t>4</w:t>
            </w:r>
            <w:r>
              <w:rPr>
                <w:rFonts w:cs="Arial"/>
                <w:sz w:val="24"/>
                <w:szCs w:val="24"/>
                <w:lang w:val="hr-HR"/>
              </w:rPr>
              <w:t>,</w:t>
            </w:r>
            <w:r w:rsidR="00512A67">
              <w:rPr>
                <w:rFonts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0177F" w:rsidRPr="00512A67" w:rsidRDefault="00512A67" w:rsidP="0010177F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8,1</w:t>
            </w:r>
          </w:p>
        </w:tc>
      </w:tr>
      <w:tr w:rsidR="0010177F" w:rsidRPr="00422742" w:rsidTr="006A1759">
        <w:trPr>
          <w:trHeight w:val="409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10177F" w:rsidRPr="00422742" w:rsidRDefault="0010177F" w:rsidP="0010177F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before="120"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sz w:val="24"/>
                <w:szCs w:val="24"/>
                <w:lang w:val="la-Latn"/>
              </w:rPr>
              <w:t>1,6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before="12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</w:t>
            </w:r>
            <w:r w:rsidRPr="00422742"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  <w:lang w:val="hr-HR"/>
              </w:rPr>
              <w:t>9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before="12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1,</w:t>
            </w:r>
            <w:r>
              <w:rPr>
                <w:rFonts w:cs="Arial"/>
                <w:sz w:val="24"/>
                <w:szCs w:val="24"/>
                <w:lang w:val="hr-HR"/>
              </w:rPr>
              <w:t>7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9E79F1" w:rsidRDefault="0010177F" w:rsidP="0010177F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-0,3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0177F" w:rsidRPr="00512A67" w:rsidRDefault="00512A67" w:rsidP="0010177F">
            <w:pPr>
              <w:pStyle w:val="INormal"/>
              <w:spacing w:before="12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2,0</w:t>
            </w:r>
          </w:p>
        </w:tc>
      </w:tr>
      <w:tr w:rsidR="0010177F" w:rsidRPr="00422742" w:rsidTr="006A1759">
        <w:trPr>
          <w:trHeight w:val="470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10177F" w:rsidRPr="00422742" w:rsidRDefault="0010177F" w:rsidP="0010177F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sz w:val="24"/>
                <w:szCs w:val="24"/>
                <w:lang w:val="la-Latn"/>
              </w:rPr>
              <w:t>6,8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6,2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4,5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2D66ED" w:rsidRDefault="0010177F" w:rsidP="0010177F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3,1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0177F" w:rsidRPr="00512A67" w:rsidRDefault="00512A67" w:rsidP="0010177F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4,8</w:t>
            </w:r>
          </w:p>
        </w:tc>
      </w:tr>
      <w:tr w:rsidR="0010177F" w:rsidRPr="00422742" w:rsidTr="006A1759">
        <w:trPr>
          <w:trHeight w:val="557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10177F" w:rsidRPr="00422742" w:rsidRDefault="0010177F" w:rsidP="00142636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Izravna strana ulaganja (milijard</w:t>
            </w:r>
            <w:r w:rsidR="00142636">
              <w:rPr>
                <w:rFonts w:cs="Arial"/>
                <w:b/>
                <w:sz w:val="24"/>
                <w:szCs w:val="24"/>
                <w:lang w:val="hr-HR"/>
              </w:rPr>
              <w:t>e</w:t>
            </w: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 xml:space="preserve"> </w:t>
            </w:r>
            <w:r w:rsidR="00142636">
              <w:rPr>
                <w:rFonts w:cs="Arial"/>
                <w:b/>
                <w:sz w:val="24"/>
                <w:szCs w:val="24"/>
                <w:lang w:val="hr-HR"/>
              </w:rPr>
              <w:t>EUR</w:t>
            </w: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10177F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1</w:t>
            </w:r>
            <w:r w:rsidR="00142636">
              <w:rPr>
                <w:rFonts w:cs="Arial"/>
                <w:sz w:val="24"/>
                <w:szCs w:val="24"/>
                <w:lang w:val="hr-HR"/>
              </w:rPr>
              <w:t>3</w:t>
            </w:r>
            <w:r w:rsidR="005B1645">
              <w:rPr>
                <w:rFonts w:cs="Arial"/>
                <w:sz w:val="24"/>
                <w:szCs w:val="24"/>
                <w:lang w:val="hr-HR"/>
              </w:rPr>
              <w:t>,9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10177F" w:rsidP="005B1645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15</w:t>
            </w:r>
            <w:r w:rsidR="005B1645">
              <w:rPr>
                <w:rFonts w:cs="Arial"/>
                <w:sz w:val="24"/>
                <w:szCs w:val="24"/>
                <w:lang w:val="hr-HR"/>
              </w:rPr>
              <w:t>,2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5B1645" w:rsidP="005B1645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16</w:t>
            </w:r>
            <w:r w:rsidR="0010177F"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0177F" w:rsidRPr="00422742" w:rsidRDefault="005B1645" w:rsidP="0010177F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16,6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0177F" w:rsidRPr="00422742" w:rsidRDefault="005B1645" w:rsidP="0010177F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---</w:t>
            </w:r>
          </w:p>
        </w:tc>
      </w:tr>
    </w:tbl>
    <w:p w:rsidR="00161404" w:rsidRDefault="00017CC9" w:rsidP="00161404">
      <w:pPr>
        <w:pStyle w:val="INormal"/>
        <w:spacing w:after="0"/>
        <w:rPr>
          <w:i/>
          <w:lang w:val="hr-HR"/>
        </w:rPr>
      </w:pPr>
      <w:r w:rsidRPr="00422742">
        <w:rPr>
          <w:i/>
          <w:lang w:val="la-Latn"/>
        </w:rPr>
        <w:t>Izvor: Eurostat</w:t>
      </w:r>
      <w:r w:rsidR="007D457E" w:rsidRPr="00422742">
        <w:rPr>
          <w:i/>
          <w:lang w:val="la-Latn"/>
        </w:rPr>
        <w:t>, The World Bank</w:t>
      </w:r>
      <w:r w:rsidR="009D0442" w:rsidRPr="00422742">
        <w:rPr>
          <w:i/>
          <w:lang w:val="hr-HR"/>
        </w:rPr>
        <w:t xml:space="preserve">, </w:t>
      </w:r>
      <w:r w:rsidR="00266E82">
        <w:rPr>
          <w:i/>
          <w:lang w:val="hr-HR"/>
        </w:rPr>
        <w:t>Državni zavod za statistiku Slovenije</w:t>
      </w:r>
      <w:r w:rsidR="00142636">
        <w:rPr>
          <w:i/>
          <w:lang w:val="hr-HR"/>
        </w:rPr>
        <w:t>, Narodna banka Slovenije</w:t>
      </w:r>
    </w:p>
    <w:p w:rsidR="00512A67" w:rsidRDefault="00512A67" w:rsidP="00161404">
      <w:pPr>
        <w:pStyle w:val="INormal"/>
        <w:spacing w:after="0"/>
        <w:rPr>
          <w:i/>
          <w:lang w:val="hr-HR"/>
        </w:rPr>
      </w:pPr>
    </w:p>
    <w:p w:rsidR="00161404" w:rsidRPr="00422742" w:rsidRDefault="00161404" w:rsidP="00161404">
      <w:pPr>
        <w:pStyle w:val="INormal"/>
        <w:spacing w:after="0"/>
        <w:rPr>
          <w:i/>
          <w:lang w:val="la-Latn"/>
        </w:rPr>
      </w:pPr>
    </w:p>
    <w:p w:rsidR="00161404" w:rsidRPr="00422742" w:rsidRDefault="00161404" w:rsidP="00161404">
      <w:pPr>
        <w:pStyle w:val="INormal"/>
        <w:rPr>
          <w:sz w:val="24"/>
          <w:szCs w:val="24"/>
          <w:lang w:val="la-Latn"/>
        </w:rPr>
      </w:pPr>
      <w:r w:rsidRPr="00422742">
        <w:rPr>
          <w:b/>
          <w:sz w:val="24"/>
          <w:szCs w:val="24"/>
          <w:lang w:val="la-Latn"/>
        </w:rPr>
        <w:t xml:space="preserve">Struktura BDP-a: </w:t>
      </w:r>
      <w:r w:rsidRPr="00422742">
        <w:rPr>
          <w:sz w:val="24"/>
          <w:szCs w:val="24"/>
          <w:lang w:val="la-Latn"/>
        </w:rPr>
        <w:t>usluge  65</w:t>
      </w:r>
      <w:r w:rsidR="002802BF" w:rsidRPr="00422742">
        <w:rPr>
          <w:sz w:val="24"/>
          <w:szCs w:val="24"/>
          <w:lang w:val="la-Latn"/>
        </w:rPr>
        <w:t>,8</w:t>
      </w:r>
      <w:r w:rsidRPr="00422742">
        <w:rPr>
          <w:sz w:val="24"/>
          <w:szCs w:val="24"/>
          <w:lang w:val="la-Latn"/>
        </w:rPr>
        <w:t>%</w:t>
      </w:r>
      <w:r w:rsidRPr="00422742">
        <w:rPr>
          <w:i/>
          <w:sz w:val="24"/>
          <w:szCs w:val="24"/>
          <w:lang w:val="la-Latn"/>
        </w:rPr>
        <w:t xml:space="preserve">, </w:t>
      </w:r>
      <w:r w:rsidRPr="00422742">
        <w:rPr>
          <w:sz w:val="24"/>
          <w:szCs w:val="24"/>
          <w:lang w:val="la-Latn"/>
        </w:rPr>
        <w:t xml:space="preserve"> industrija  3</w:t>
      </w:r>
      <w:r w:rsidR="002802BF" w:rsidRPr="00422742">
        <w:rPr>
          <w:sz w:val="24"/>
          <w:szCs w:val="24"/>
          <w:lang w:val="la-Latn"/>
        </w:rPr>
        <w:t>2</w:t>
      </w:r>
      <w:r w:rsidRPr="00422742">
        <w:rPr>
          <w:sz w:val="24"/>
          <w:szCs w:val="24"/>
          <w:lang w:val="la-Latn"/>
        </w:rPr>
        <w:t>%, poljoprivreda 2</w:t>
      </w:r>
      <w:r w:rsidR="002802BF" w:rsidRPr="00422742">
        <w:rPr>
          <w:sz w:val="24"/>
          <w:szCs w:val="24"/>
          <w:lang w:val="la-Latn"/>
        </w:rPr>
        <w:t>,3</w:t>
      </w:r>
      <w:r w:rsidRPr="00422742">
        <w:rPr>
          <w:sz w:val="24"/>
          <w:szCs w:val="24"/>
          <w:lang w:val="la-Latn"/>
        </w:rPr>
        <w:t>%.</w:t>
      </w:r>
    </w:p>
    <w:p w:rsidR="00161404" w:rsidRPr="00422742" w:rsidRDefault="00161404" w:rsidP="00161404">
      <w:pPr>
        <w:pStyle w:val="INormal"/>
        <w:spacing w:after="0"/>
        <w:rPr>
          <w:sz w:val="24"/>
          <w:szCs w:val="24"/>
          <w:lang w:val="la-Latn"/>
        </w:rPr>
      </w:pPr>
      <w:r w:rsidRPr="00422742">
        <w:rPr>
          <w:b/>
          <w:sz w:val="24"/>
          <w:szCs w:val="24"/>
          <w:lang w:val="la-Latn"/>
        </w:rPr>
        <w:t xml:space="preserve">Najvažnije industrije: </w:t>
      </w:r>
      <w:r w:rsidR="002802BF" w:rsidRPr="00422742">
        <w:rPr>
          <w:sz w:val="24"/>
          <w:szCs w:val="24"/>
          <w:lang w:val="la-Latn"/>
        </w:rPr>
        <w:t xml:space="preserve">željezna metalurgija i aluminijski proizvodi, taljenje olova i cinka, elektrotehnika i </w:t>
      </w:r>
      <w:r w:rsidR="00A548B3" w:rsidRPr="00422742">
        <w:rPr>
          <w:sz w:val="24"/>
          <w:szCs w:val="24"/>
          <w:lang w:val="la-Latn"/>
        </w:rPr>
        <w:t xml:space="preserve"> elektroenergetska</w:t>
      </w:r>
      <w:r w:rsidR="002802BF" w:rsidRPr="00422742">
        <w:rPr>
          <w:sz w:val="24"/>
          <w:szCs w:val="24"/>
          <w:lang w:val="la-Latn"/>
        </w:rPr>
        <w:t xml:space="preserve"> oprema, kamioni, automobili, </w:t>
      </w:r>
      <w:r w:rsidR="00A548B3" w:rsidRPr="00422742">
        <w:rPr>
          <w:sz w:val="24"/>
          <w:szCs w:val="24"/>
          <w:lang w:val="la-Latn"/>
        </w:rPr>
        <w:t>drvni proizvodi, tekstil, kemikalije, alatni strojevi</w:t>
      </w:r>
      <w:r w:rsidR="00253242" w:rsidRPr="00422742">
        <w:rPr>
          <w:sz w:val="24"/>
          <w:szCs w:val="24"/>
          <w:lang w:val="la-Latn"/>
        </w:rPr>
        <w:t>.</w:t>
      </w:r>
    </w:p>
    <w:p w:rsidR="00161404" w:rsidRPr="00422742" w:rsidRDefault="00161404" w:rsidP="00161404">
      <w:pPr>
        <w:pStyle w:val="INormal"/>
        <w:rPr>
          <w:i/>
          <w:lang w:val="la-Lat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22742" w:rsidRPr="00422742" w:rsidTr="004F043E">
        <w:tc>
          <w:tcPr>
            <w:tcW w:w="9209" w:type="dxa"/>
            <w:shd w:val="clear" w:color="auto" w:fill="9CC2E5" w:themeFill="accent1" w:themeFillTint="99"/>
          </w:tcPr>
          <w:p w:rsidR="00161404" w:rsidRPr="00422742" w:rsidRDefault="00161404" w:rsidP="004D03E1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422742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161404" w:rsidRPr="00422742" w:rsidRDefault="00161404" w:rsidP="00161404">
      <w:pPr>
        <w:pStyle w:val="INormal"/>
        <w:spacing w:after="0"/>
        <w:rPr>
          <w:lang w:val="la-Latn"/>
        </w:rPr>
      </w:pPr>
      <w:r w:rsidRPr="00422742">
        <w:rPr>
          <w:lang w:val="la-Latn"/>
        </w:rPr>
        <w:tab/>
      </w:r>
      <w:r w:rsidRPr="00422742">
        <w:rPr>
          <w:lang w:val="la-Latn"/>
        </w:rPr>
        <w:tab/>
      </w:r>
      <w:r w:rsidRPr="00422742">
        <w:rPr>
          <w:lang w:val="la-Latn"/>
        </w:rPr>
        <w:tab/>
      </w:r>
      <w:r w:rsidRPr="00422742">
        <w:rPr>
          <w:lang w:val="la-Latn"/>
        </w:rPr>
        <w:tab/>
      </w:r>
      <w:r w:rsidRPr="00422742">
        <w:rPr>
          <w:lang w:val="la-Latn"/>
        </w:rPr>
        <w:tab/>
      </w:r>
      <w:r w:rsidRPr="00422742">
        <w:rPr>
          <w:lang w:val="la-Latn"/>
        </w:rPr>
        <w:tab/>
      </w:r>
      <w:r w:rsidRPr="00422742">
        <w:rPr>
          <w:lang w:val="la-Latn"/>
        </w:rPr>
        <w:tab/>
      </w:r>
      <w:r w:rsidRPr="00422742">
        <w:rPr>
          <w:lang w:val="la-Latn"/>
        </w:rPr>
        <w:tab/>
        <w:t xml:space="preserve"> </w:t>
      </w:r>
      <w:r w:rsidR="00EC2DED" w:rsidRPr="00422742">
        <w:rPr>
          <w:lang w:val="hr-HR"/>
        </w:rPr>
        <w:t xml:space="preserve">   </w:t>
      </w:r>
      <w:r w:rsidRPr="00422742">
        <w:rPr>
          <w:i/>
          <w:lang w:val="la-Latn"/>
        </w:rPr>
        <w:t>U milijardama  EUR</w:t>
      </w:r>
    </w:p>
    <w:tbl>
      <w:tblPr>
        <w:tblW w:w="9147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22"/>
        <w:gridCol w:w="1445"/>
        <w:gridCol w:w="1445"/>
        <w:gridCol w:w="1445"/>
        <w:gridCol w:w="1445"/>
        <w:gridCol w:w="1445"/>
      </w:tblGrid>
      <w:tr w:rsidR="003E5A3E" w:rsidRPr="00422742" w:rsidTr="00196FB9">
        <w:trPr>
          <w:trHeight w:val="356"/>
          <w:tblCellSpacing w:w="20" w:type="dxa"/>
        </w:trPr>
        <w:tc>
          <w:tcPr>
            <w:tcW w:w="1862" w:type="dxa"/>
            <w:shd w:val="clear" w:color="auto" w:fill="9CC2E5" w:themeFill="accent1" w:themeFillTint="99"/>
          </w:tcPr>
          <w:p w:rsidR="003E5A3E" w:rsidRPr="00422742" w:rsidRDefault="003E5A3E" w:rsidP="003E5A3E">
            <w:pPr>
              <w:pStyle w:val="INormal"/>
              <w:rPr>
                <w:rFonts w:cs="Arial"/>
                <w:sz w:val="24"/>
                <w:szCs w:val="24"/>
                <w:lang w:val="la-Latn"/>
              </w:rPr>
            </w:pPr>
          </w:p>
        </w:tc>
        <w:tc>
          <w:tcPr>
            <w:tcW w:w="1405" w:type="dxa"/>
            <w:shd w:val="clear" w:color="auto" w:fill="9CC2E5" w:themeFill="accent1" w:themeFillTint="99"/>
            <w:vAlign w:val="center"/>
          </w:tcPr>
          <w:p w:rsidR="003E5A3E" w:rsidRPr="00422742" w:rsidRDefault="003E5A3E" w:rsidP="003E5A3E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 w:rsidRPr="00422742">
              <w:rPr>
                <w:rFonts w:cs="Arial"/>
                <w:b/>
                <w:sz w:val="24"/>
                <w:szCs w:val="24"/>
                <w:lang w:val="hr-HR"/>
              </w:rPr>
              <w:t>7</w:t>
            </w: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05" w:type="dxa"/>
            <w:shd w:val="clear" w:color="auto" w:fill="9CC2E5" w:themeFill="accent1" w:themeFillTint="99"/>
            <w:vAlign w:val="center"/>
          </w:tcPr>
          <w:p w:rsidR="003E5A3E" w:rsidRPr="00422742" w:rsidRDefault="003E5A3E" w:rsidP="003E5A3E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 w:rsidRPr="00422742">
              <w:rPr>
                <w:rFonts w:cs="Arial"/>
                <w:b/>
                <w:sz w:val="24"/>
                <w:szCs w:val="24"/>
                <w:lang w:val="hr-HR"/>
              </w:rPr>
              <w:t>8</w:t>
            </w: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05" w:type="dxa"/>
            <w:shd w:val="clear" w:color="auto" w:fill="9CC2E5" w:themeFill="accent1" w:themeFillTint="99"/>
            <w:vAlign w:val="center"/>
          </w:tcPr>
          <w:p w:rsidR="003E5A3E" w:rsidRPr="00422742" w:rsidRDefault="003E5A3E" w:rsidP="003E5A3E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405" w:type="dxa"/>
            <w:shd w:val="clear" w:color="auto" w:fill="9CC2E5" w:themeFill="accent1" w:themeFillTint="99"/>
            <w:vAlign w:val="center"/>
          </w:tcPr>
          <w:p w:rsidR="003E5A3E" w:rsidRPr="00422742" w:rsidRDefault="003E5A3E" w:rsidP="003E5A3E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 w:rsidRPr="00422742">
              <w:rPr>
                <w:rFonts w:cs="Arial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385" w:type="dxa"/>
            <w:shd w:val="clear" w:color="auto" w:fill="9CC2E5" w:themeFill="accent1" w:themeFillTint="99"/>
            <w:vAlign w:val="center"/>
          </w:tcPr>
          <w:p w:rsidR="003E5A3E" w:rsidRPr="00422742" w:rsidRDefault="003E5A3E" w:rsidP="003E5A3E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21</w:t>
            </w:r>
            <w:r w:rsidRPr="00422742">
              <w:rPr>
                <w:rFonts w:cs="Arial"/>
                <w:b/>
                <w:sz w:val="24"/>
                <w:szCs w:val="24"/>
                <w:lang w:val="hr-HR"/>
              </w:rPr>
              <w:t>.</w:t>
            </w:r>
          </w:p>
        </w:tc>
      </w:tr>
      <w:tr w:rsidR="003E5A3E" w:rsidRPr="00422742" w:rsidTr="00196FB9">
        <w:trPr>
          <w:trHeight w:val="369"/>
          <w:tblCellSpacing w:w="20" w:type="dxa"/>
        </w:trPr>
        <w:tc>
          <w:tcPr>
            <w:tcW w:w="1862" w:type="dxa"/>
            <w:shd w:val="clear" w:color="auto" w:fill="9CC2E5" w:themeFill="accent1" w:themeFillTint="99"/>
          </w:tcPr>
          <w:p w:rsidR="003E5A3E" w:rsidRPr="00422742" w:rsidRDefault="003E5A3E" w:rsidP="003E5A3E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422742" w:rsidRDefault="003E5A3E" w:rsidP="003E5A3E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sz w:val="24"/>
                <w:szCs w:val="24"/>
                <w:lang w:val="la-Latn"/>
              </w:rPr>
              <w:t>34,0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422742" w:rsidRDefault="003E5A3E" w:rsidP="003E5A3E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37,4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422742" w:rsidRDefault="003E5A3E" w:rsidP="003E5A3E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33,5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144D90" w:rsidRDefault="003E5A3E" w:rsidP="003E5A3E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32,8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E5A3E" w:rsidRPr="003E5A3E" w:rsidRDefault="003E5A3E" w:rsidP="003E5A3E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39,4</w:t>
            </w:r>
          </w:p>
        </w:tc>
      </w:tr>
      <w:tr w:rsidR="003E5A3E" w:rsidRPr="00422742" w:rsidTr="00196FB9">
        <w:trPr>
          <w:trHeight w:val="369"/>
          <w:tblCellSpacing w:w="20" w:type="dxa"/>
        </w:trPr>
        <w:tc>
          <w:tcPr>
            <w:tcW w:w="1862" w:type="dxa"/>
            <w:shd w:val="clear" w:color="auto" w:fill="9CC2E5" w:themeFill="accent1" w:themeFillTint="99"/>
          </w:tcPr>
          <w:p w:rsidR="003E5A3E" w:rsidRPr="00422742" w:rsidRDefault="003E5A3E" w:rsidP="003E5A3E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422742" w:rsidRDefault="003E5A3E" w:rsidP="003E5A3E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sz w:val="24"/>
                <w:szCs w:val="24"/>
                <w:lang w:val="la-Latn"/>
              </w:rPr>
              <w:t>31,9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422742" w:rsidRDefault="003E5A3E" w:rsidP="003E5A3E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35,8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422742" w:rsidRDefault="003E5A3E" w:rsidP="003E5A3E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34,0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144D90" w:rsidRDefault="003E5A3E" w:rsidP="003E5A3E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32,0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E5A3E" w:rsidRPr="003E5A3E" w:rsidRDefault="003E5A3E" w:rsidP="003E5A3E">
            <w:pPr>
              <w:pStyle w:val="INormal"/>
              <w:spacing w:before="60"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42,0</w:t>
            </w:r>
          </w:p>
        </w:tc>
      </w:tr>
      <w:tr w:rsidR="003E5A3E" w:rsidRPr="00422742" w:rsidTr="00196FB9">
        <w:trPr>
          <w:trHeight w:val="369"/>
          <w:tblCellSpacing w:w="20" w:type="dxa"/>
        </w:trPr>
        <w:tc>
          <w:tcPr>
            <w:tcW w:w="1862" w:type="dxa"/>
            <w:shd w:val="clear" w:color="auto" w:fill="9CC2E5" w:themeFill="accent1" w:themeFillTint="99"/>
          </w:tcPr>
          <w:p w:rsidR="003E5A3E" w:rsidRPr="00422742" w:rsidRDefault="003E5A3E" w:rsidP="003E5A3E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422742" w:rsidRDefault="003E5A3E" w:rsidP="003E5A3E">
            <w:pPr>
              <w:pStyle w:val="INormal"/>
              <w:spacing w:before="60"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65,9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422742" w:rsidRDefault="003E5A3E" w:rsidP="003E5A3E">
            <w:pPr>
              <w:pStyle w:val="INormal"/>
              <w:spacing w:before="60"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b/>
                <w:sz w:val="24"/>
                <w:szCs w:val="24"/>
                <w:lang w:val="hr-HR"/>
              </w:rPr>
              <w:t>73,2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422742" w:rsidRDefault="003E5A3E" w:rsidP="003E5A3E">
            <w:pPr>
              <w:pStyle w:val="INormal"/>
              <w:spacing w:before="60"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b/>
                <w:sz w:val="24"/>
                <w:szCs w:val="24"/>
                <w:lang w:val="hr-HR"/>
              </w:rPr>
              <w:t>67,5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144D90" w:rsidRDefault="003E5A3E" w:rsidP="003E5A3E">
            <w:pPr>
              <w:pStyle w:val="INormal"/>
              <w:spacing w:before="60"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64,8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E5A3E" w:rsidRPr="003E5A3E" w:rsidRDefault="003E5A3E" w:rsidP="003E5A3E">
            <w:pPr>
              <w:pStyle w:val="INormal"/>
              <w:spacing w:before="60"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81,4</w:t>
            </w:r>
          </w:p>
        </w:tc>
      </w:tr>
      <w:tr w:rsidR="003E5A3E" w:rsidRPr="00422742" w:rsidTr="00196FB9">
        <w:trPr>
          <w:trHeight w:val="369"/>
          <w:tblCellSpacing w:w="20" w:type="dxa"/>
        </w:trPr>
        <w:tc>
          <w:tcPr>
            <w:tcW w:w="1862" w:type="dxa"/>
            <w:shd w:val="clear" w:color="auto" w:fill="9CC2E5" w:themeFill="accent1" w:themeFillTint="99"/>
          </w:tcPr>
          <w:p w:rsidR="003E5A3E" w:rsidRPr="00422742" w:rsidRDefault="003E5A3E" w:rsidP="003E5A3E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422742" w:rsidRDefault="003E5A3E" w:rsidP="003E5A3E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sz w:val="24"/>
                <w:szCs w:val="24"/>
                <w:lang w:val="la-Latn"/>
              </w:rPr>
              <w:t>2,1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422742" w:rsidRDefault="003E5A3E" w:rsidP="003E5A3E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1,6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422742" w:rsidRDefault="003E5A3E" w:rsidP="003E5A3E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42">
              <w:rPr>
                <w:rFonts w:cs="Arial"/>
                <w:sz w:val="24"/>
                <w:szCs w:val="24"/>
                <w:lang w:val="hr-HR"/>
              </w:rPr>
              <w:t>-0,5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3E5A3E" w:rsidRPr="00144D90" w:rsidRDefault="003E5A3E" w:rsidP="003E5A3E">
            <w:pPr>
              <w:pStyle w:val="INormal"/>
              <w:ind w:hanging="8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0,8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3E5A3E" w:rsidRPr="003E5A3E" w:rsidRDefault="003E5A3E" w:rsidP="003E5A3E">
            <w:pPr>
              <w:pStyle w:val="INormal"/>
              <w:ind w:hanging="46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2,6</w:t>
            </w:r>
          </w:p>
        </w:tc>
      </w:tr>
    </w:tbl>
    <w:p w:rsidR="00161404" w:rsidRPr="00422742" w:rsidRDefault="00161404" w:rsidP="00161404">
      <w:pPr>
        <w:pStyle w:val="INormal"/>
        <w:spacing w:after="0"/>
        <w:rPr>
          <w:i/>
          <w:lang w:val="la-Latn"/>
        </w:rPr>
      </w:pPr>
      <w:r w:rsidRPr="00422742">
        <w:rPr>
          <w:i/>
          <w:lang w:val="la-Latn"/>
        </w:rPr>
        <w:t xml:space="preserve"> Izvor: </w:t>
      </w:r>
      <w:r w:rsidR="00B024FE" w:rsidRPr="00422742">
        <w:rPr>
          <w:i/>
          <w:lang w:val="la-Latn"/>
        </w:rPr>
        <w:t>Eurostat</w:t>
      </w:r>
    </w:p>
    <w:p w:rsidR="002E21E2" w:rsidRDefault="002E21E2" w:rsidP="00161404">
      <w:pPr>
        <w:pStyle w:val="INormal"/>
        <w:rPr>
          <w:rFonts w:eastAsia="Calibri"/>
          <w:b/>
          <w:bCs/>
          <w:sz w:val="24"/>
          <w:szCs w:val="24"/>
          <w:lang w:val="la-Latn" w:eastAsia="en-US"/>
        </w:rPr>
      </w:pPr>
    </w:p>
    <w:p w:rsidR="00685C62" w:rsidRPr="00AA2134" w:rsidRDefault="00A548B3" w:rsidP="00161404">
      <w:pPr>
        <w:pStyle w:val="INormal"/>
        <w:rPr>
          <w:rFonts w:cs="Arial"/>
          <w:sz w:val="24"/>
          <w:szCs w:val="24"/>
          <w:lang w:val="la-Latn"/>
        </w:rPr>
      </w:pPr>
      <w:r w:rsidRPr="00AA2134">
        <w:rPr>
          <w:rFonts w:eastAsia="Calibri" w:cs="Arial"/>
          <w:b/>
          <w:bCs/>
          <w:sz w:val="24"/>
          <w:szCs w:val="24"/>
          <w:lang w:val="la-Latn" w:eastAsia="en-US"/>
        </w:rPr>
        <w:t xml:space="preserve">Najznačajnije zemlje izvoza </w:t>
      </w:r>
      <w:r w:rsidR="00551D96" w:rsidRPr="00AA2134">
        <w:rPr>
          <w:rFonts w:eastAsia="Calibri" w:cs="Arial"/>
          <w:b/>
          <w:bCs/>
          <w:sz w:val="24"/>
          <w:szCs w:val="24"/>
          <w:lang w:val="hr-HR" w:eastAsia="en-US"/>
        </w:rPr>
        <w:t>u 202</w:t>
      </w:r>
      <w:r w:rsidR="00685C62" w:rsidRPr="00AA2134">
        <w:rPr>
          <w:rFonts w:eastAsia="Calibri" w:cs="Arial"/>
          <w:b/>
          <w:bCs/>
          <w:sz w:val="24"/>
          <w:szCs w:val="24"/>
          <w:lang w:val="hr-HR" w:eastAsia="en-US"/>
        </w:rPr>
        <w:t>1</w:t>
      </w:r>
      <w:r w:rsidR="00551D96" w:rsidRPr="00AA2134">
        <w:rPr>
          <w:rFonts w:eastAsia="Calibri" w:cs="Arial"/>
          <w:b/>
          <w:bCs/>
          <w:sz w:val="24"/>
          <w:szCs w:val="24"/>
          <w:lang w:val="hr-HR" w:eastAsia="en-US"/>
        </w:rPr>
        <w:t xml:space="preserve">. </w:t>
      </w:r>
      <w:r w:rsidRPr="00AA2134">
        <w:rPr>
          <w:rFonts w:eastAsia="Calibri" w:cs="Arial"/>
          <w:b/>
          <w:bCs/>
          <w:sz w:val="24"/>
          <w:szCs w:val="24"/>
          <w:lang w:val="la-Latn" w:eastAsia="en-US"/>
        </w:rPr>
        <w:t>su</w:t>
      </w:r>
      <w:r w:rsidR="00AA2134" w:rsidRPr="00AA2134">
        <w:rPr>
          <w:rFonts w:eastAsia="Calibri" w:cs="Arial"/>
          <w:b/>
          <w:bCs/>
          <w:sz w:val="24"/>
          <w:szCs w:val="24"/>
          <w:lang w:val="hr-HR" w:eastAsia="en-US"/>
        </w:rPr>
        <w:t xml:space="preserve">: </w:t>
      </w:r>
      <w:r w:rsidR="00685C62" w:rsidRPr="00AA2134">
        <w:rPr>
          <w:rFonts w:cs="Arial"/>
          <w:sz w:val="24"/>
          <w:szCs w:val="24"/>
        </w:rPr>
        <w:t>Njemačk</w:t>
      </w:r>
      <w:r w:rsidR="00AA2134" w:rsidRPr="00AA2134">
        <w:rPr>
          <w:rFonts w:cs="Arial"/>
          <w:sz w:val="24"/>
          <w:szCs w:val="24"/>
          <w:lang w:val="hr-HR"/>
        </w:rPr>
        <w:t>a</w:t>
      </w:r>
      <w:r w:rsidR="00685C62" w:rsidRPr="00AA2134">
        <w:rPr>
          <w:rFonts w:cs="Arial"/>
          <w:sz w:val="24"/>
          <w:szCs w:val="24"/>
        </w:rPr>
        <w:t xml:space="preserve"> (17,3%), Švicarsk</w:t>
      </w:r>
      <w:r w:rsidR="00AA2134" w:rsidRPr="00AA2134">
        <w:rPr>
          <w:rFonts w:cs="Arial"/>
          <w:sz w:val="24"/>
          <w:szCs w:val="24"/>
          <w:lang w:val="hr-HR"/>
        </w:rPr>
        <w:t>a</w:t>
      </w:r>
      <w:r w:rsidR="00685C62" w:rsidRPr="00AA2134">
        <w:rPr>
          <w:rFonts w:cs="Arial"/>
          <w:sz w:val="24"/>
          <w:szCs w:val="24"/>
        </w:rPr>
        <w:t xml:space="preserve"> (13,4%), Italij</w:t>
      </w:r>
      <w:r w:rsidR="00AA2134" w:rsidRPr="00AA2134">
        <w:rPr>
          <w:rFonts w:cs="Arial"/>
          <w:sz w:val="24"/>
          <w:szCs w:val="24"/>
          <w:lang w:val="hr-HR"/>
        </w:rPr>
        <w:t>a</w:t>
      </w:r>
      <w:r w:rsidR="00685C62" w:rsidRPr="00AA2134">
        <w:rPr>
          <w:rFonts w:cs="Arial"/>
          <w:sz w:val="24"/>
          <w:szCs w:val="24"/>
        </w:rPr>
        <w:t xml:space="preserve"> (10,7%), Hrvatsk</w:t>
      </w:r>
      <w:r w:rsidR="00AA2134" w:rsidRPr="00AA2134">
        <w:rPr>
          <w:rFonts w:cs="Arial"/>
          <w:sz w:val="24"/>
          <w:szCs w:val="24"/>
          <w:lang w:val="hr-HR"/>
        </w:rPr>
        <w:t>a</w:t>
      </w:r>
      <w:r w:rsidR="00685C62" w:rsidRPr="00AA2134">
        <w:rPr>
          <w:rFonts w:cs="Arial"/>
          <w:sz w:val="24"/>
          <w:szCs w:val="24"/>
        </w:rPr>
        <w:t xml:space="preserve"> (7,9%) i Austrij</w:t>
      </w:r>
      <w:r w:rsidR="00AA2134" w:rsidRPr="00AA2134">
        <w:rPr>
          <w:rFonts w:cs="Arial"/>
          <w:sz w:val="24"/>
          <w:szCs w:val="24"/>
          <w:lang w:val="hr-HR"/>
        </w:rPr>
        <w:t>a</w:t>
      </w:r>
      <w:r w:rsidR="00685C62" w:rsidRPr="00AA2134">
        <w:rPr>
          <w:rFonts w:cs="Arial"/>
          <w:sz w:val="24"/>
          <w:szCs w:val="24"/>
        </w:rPr>
        <w:t xml:space="preserve"> (6,6%).</w:t>
      </w:r>
    </w:p>
    <w:p w:rsidR="00472B51" w:rsidRPr="00AA2134" w:rsidRDefault="00161404" w:rsidP="00161404">
      <w:pPr>
        <w:pStyle w:val="INormal"/>
        <w:rPr>
          <w:rFonts w:cs="Arial"/>
          <w:sz w:val="24"/>
          <w:szCs w:val="24"/>
          <w:lang w:val="hr-HR"/>
        </w:rPr>
      </w:pPr>
      <w:r w:rsidRPr="00AA2134">
        <w:rPr>
          <w:rFonts w:cs="Arial"/>
          <w:b/>
          <w:sz w:val="24"/>
          <w:szCs w:val="24"/>
          <w:lang w:val="la-Latn"/>
        </w:rPr>
        <w:t>Najznačajniji izvozni proizvodi</w:t>
      </w:r>
      <w:r w:rsidR="00472B51" w:rsidRPr="00AA2134">
        <w:rPr>
          <w:rFonts w:cs="Arial"/>
          <w:b/>
          <w:sz w:val="24"/>
          <w:szCs w:val="24"/>
          <w:lang w:val="hr-HR"/>
        </w:rPr>
        <w:t xml:space="preserve"> </w:t>
      </w:r>
      <w:r w:rsidR="00472B51" w:rsidRPr="00AA2134">
        <w:rPr>
          <w:rFonts w:eastAsia="Calibri" w:cs="Arial"/>
          <w:b/>
          <w:bCs/>
          <w:sz w:val="24"/>
          <w:szCs w:val="24"/>
          <w:lang w:val="hr-HR" w:eastAsia="en-US"/>
        </w:rPr>
        <w:t>u 202</w:t>
      </w:r>
      <w:r w:rsidR="0080740D">
        <w:rPr>
          <w:rFonts w:eastAsia="Calibri" w:cs="Arial"/>
          <w:b/>
          <w:bCs/>
          <w:sz w:val="24"/>
          <w:szCs w:val="24"/>
          <w:lang w:val="hr-HR" w:eastAsia="en-US"/>
        </w:rPr>
        <w:t>1</w:t>
      </w:r>
      <w:r w:rsidR="00472B51" w:rsidRPr="00AA2134">
        <w:rPr>
          <w:rFonts w:eastAsia="Calibri" w:cs="Arial"/>
          <w:b/>
          <w:bCs/>
          <w:sz w:val="24"/>
          <w:szCs w:val="24"/>
          <w:lang w:val="hr-HR" w:eastAsia="en-US"/>
        </w:rPr>
        <w:t>.</w:t>
      </w:r>
      <w:r w:rsidRPr="00AA2134">
        <w:rPr>
          <w:rFonts w:cs="Arial"/>
          <w:sz w:val="24"/>
          <w:szCs w:val="24"/>
          <w:lang w:val="la-Latn"/>
        </w:rPr>
        <w:t xml:space="preserve">: </w:t>
      </w:r>
      <w:r w:rsidR="00472B51" w:rsidRPr="00AA2134">
        <w:rPr>
          <w:rFonts w:cs="Arial"/>
          <w:sz w:val="24"/>
          <w:szCs w:val="24"/>
          <w:lang w:val="hr-HR"/>
        </w:rPr>
        <w:t>farmaceutski proizvodi 21%, vozila 13%, električni proizvodi i oprema 11%, strojevi i mehanički uređaji 10%</w:t>
      </w:r>
    </w:p>
    <w:p w:rsidR="00A548B3" w:rsidRPr="00401B12" w:rsidRDefault="00A548B3" w:rsidP="00161404">
      <w:pPr>
        <w:pStyle w:val="INormal"/>
        <w:rPr>
          <w:rFonts w:eastAsia="Calibri"/>
          <w:bCs/>
          <w:sz w:val="24"/>
          <w:szCs w:val="24"/>
          <w:lang w:val="hr-HR" w:eastAsia="en-US"/>
        </w:rPr>
      </w:pPr>
      <w:r w:rsidRPr="00AA2134">
        <w:rPr>
          <w:rFonts w:eastAsia="Calibri" w:cs="Arial"/>
          <w:b/>
          <w:bCs/>
          <w:sz w:val="24"/>
          <w:szCs w:val="24"/>
          <w:lang w:val="la-Latn" w:eastAsia="en-US"/>
        </w:rPr>
        <w:t>Najznačajnije zemlje uvoza</w:t>
      </w:r>
      <w:r w:rsidR="00472B51" w:rsidRPr="00AA2134">
        <w:rPr>
          <w:rFonts w:eastAsia="Calibri" w:cs="Arial"/>
          <w:b/>
          <w:bCs/>
          <w:sz w:val="24"/>
          <w:szCs w:val="24"/>
          <w:lang w:val="hr-HR" w:eastAsia="en-US"/>
        </w:rPr>
        <w:t xml:space="preserve"> u 202</w:t>
      </w:r>
      <w:r w:rsidR="00EB5FAF">
        <w:rPr>
          <w:rFonts w:eastAsia="Calibri" w:cs="Arial"/>
          <w:b/>
          <w:bCs/>
          <w:sz w:val="24"/>
          <w:szCs w:val="24"/>
          <w:lang w:val="hr-HR" w:eastAsia="en-US"/>
        </w:rPr>
        <w:t>1</w:t>
      </w:r>
      <w:r w:rsidR="00472B51" w:rsidRPr="00AA2134">
        <w:rPr>
          <w:rFonts w:eastAsia="Calibri" w:cs="Arial"/>
          <w:b/>
          <w:bCs/>
          <w:sz w:val="24"/>
          <w:szCs w:val="24"/>
          <w:lang w:val="hr-HR" w:eastAsia="en-US"/>
        </w:rPr>
        <w:t>.</w:t>
      </w:r>
      <w:r w:rsidR="00472B51" w:rsidRPr="00AA2134">
        <w:rPr>
          <w:rFonts w:eastAsia="Calibri" w:cs="Arial"/>
          <w:b/>
          <w:bCs/>
          <w:sz w:val="24"/>
          <w:szCs w:val="24"/>
          <w:lang w:val="la-Latn" w:eastAsia="en-US"/>
        </w:rPr>
        <w:t xml:space="preserve"> </w:t>
      </w:r>
      <w:r w:rsidR="00472B51" w:rsidRPr="00AA2134">
        <w:rPr>
          <w:rFonts w:eastAsia="Calibri" w:cs="Arial"/>
          <w:b/>
          <w:bCs/>
          <w:sz w:val="24"/>
          <w:szCs w:val="24"/>
          <w:lang w:val="hr-HR" w:eastAsia="en-US"/>
        </w:rPr>
        <w:t>su:</w:t>
      </w:r>
      <w:r w:rsidRPr="00AA2134">
        <w:rPr>
          <w:rFonts w:eastAsia="Calibri" w:cs="Arial"/>
          <w:b/>
          <w:bCs/>
          <w:sz w:val="24"/>
          <w:szCs w:val="24"/>
          <w:lang w:val="la-Latn" w:eastAsia="en-US"/>
        </w:rPr>
        <w:t xml:space="preserve"> </w:t>
      </w:r>
      <w:r w:rsidRPr="00AA2134">
        <w:rPr>
          <w:rFonts w:eastAsia="Calibri" w:cs="Arial"/>
          <w:bCs/>
          <w:sz w:val="24"/>
          <w:szCs w:val="24"/>
          <w:lang w:val="la-Latn" w:eastAsia="en-US"/>
        </w:rPr>
        <w:t xml:space="preserve">Njemačka </w:t>
      </w:r>
      <w:r w:rsidR="00EB5FAF">
        <w:rPr>
          <w:rFonts w:eastAsia="Calibri" w:cs="Arial"/>
          <w:bCs/>
          <w:sz w:val="24"/>
          <w:szCs w:val="24"/>
          <w:lang w:val="hr-HR" w:eastAsia="en-US"/>
        </w:rPr>
        <w:t>(</w:t>
      </w:r>
      <w:r w:rsidRPr="00AA2134">
        <w:rPr>
          <w:rFonts w:eastAsia="Calibri" w:cs="Arial"/>
          <w:bCs/>
          <w:sz w:val="24"/>
          <w:szCs w:val="24"/>
          <w:lang w:val="la-Latn" w:eastAsia="en-US"/>
        </w:rPr>
        <w:t>1</w:t>
      </w:r>
      <w:r w:rsidR="00472B51" w:rsidRPr="00AA2134">
        <w:rPr>
          <w:rFonts w:eastAsia="Calibri" w:cs="Arial"/>
          <w:bCs/>
          <w:sz w:val="24"/>
          <w:szCs w:val="24"/>
          <w:lang w:val="hr-HR" w:eastAsia="en-US"/>
        </w:rPr>
        <w:t>4</w:t>
      </w:r>
      <w:r w:rsidR="00EB5FAF">
        <w:rPr>
          <w:rFonts w:eastAsia="Calibri" w:cs="Arial"/>
          <w:bCs/>
          <w:sz w:val="24"/>
          <w:szCs w:val="24"/>
          <w:lang w:val="hr-HR" w:eastAsia="en-US"/>
        </w:rPr>
        <w:t>,9</w:t>
      </w:r>
      <w:r w:rsidR="00EB5FAF">
        <w:rPr>
          <w:rFonts w:eastAsia="Calibri" w:cs="Arial"/>
          <w:bCs/>
          <w:sz w:val="24"/>
          <w:szCs w:val="24"/>
          <w:lang w:val="la-Latn" w:eastAsia="en-US"/>
        </w:rPr>
        <w:t>%</w:t>
      </w:r>
      <w:r w:rsidR="00EB5FAF">
        <w:rPr>
          <w:rFonts w:eastAsia="Calibri" w:cs="Arial"/>
          <w:bCs/>
          <w:sz w:val="24"/>
          <w:szCs w:val="24"/>
          <w:lang w:val="hr-HR" w:eastAsia="en-US"/>
        </w:rPr>
        <w:t>)</w:t>
      </w:r>
      <w:r w:rsidR="00562664">
        <w:rPr>
          <w:rFonts w:eastAsia="Calibri" w:cs="Arial"/>
          <w:bCs/>
          <w:sz w:val="24"/>
          <w:szCs w:val="24"/>
          <w:lang w:val="hr-HR" w:eastAsia="en-US"/>
        </w:rPr>
        <w:t>,</w:t>
      </w:r>
      <w:r w:rsidRPr="00AA2134">
        <w:rPr>
          <w:rFonts w:eastAsia="Calibri" w:cs="Arial"/>
          <w:bCs/>
          <w:sz w:val="24"/>
          <w:szCs w:val="24"/>
          <w:lang w:val="la-Latn" w:eastAsia="en-US"/>
        </w:rPr>
        <w:t xml:space="preserve"> </w:t>
      </w:r>
      <w:r w:rsidR="00562664">
        <w:rPr>
          <w:rFonts w:eastAsia="Calibri" w:cs="Arial"/>
          <w:bCs/>
          <w:sz w:val="24"/>
          <w:szCs w:val="24"/>
          <w:lang w:val="la-Latn" w:eastAsia="en-US"/>
        </w:rPr>
        <w:t xml:space="preserve">Italija </w:t>
      </w:r>
      <w:r w:rsidR="00562664">
        <w:rPr>
          <w:rFonts w:eastAsia="Calibri" w:cs="Arial"/>
          <w:bCs/>
          <w:sz w:val="24"/>
          <w:szCs w:val="24"/>
          <w:lang w:val="hr-HR" w:eastAsia="en-US"/>
        </w:rPr>
        <w:t xml:space="preserve">(11,3%), </w:t>
      </w:r>
      <w:r w:rsidR="00472B51" w:rsidRPr="00AA2134">
        <w:rPr>
          <w:rFonts w:cs="Arial"/>
          <w:sz w:val="24"/>
          <w:szCs w:val="24"/>
          <w:lang w:val="hr-HR"/>
        </w:rPr>
        <w:t xml:space="preserve">Švicarska </w:t>
      </w:r>
      <w:r w:rsidR="00562664">
        <w:rPr>
          <w:rFonts w:cs="Arial"/>
          <w:sz w:val="24"/>
          <w:szCs w:val="24"/>
          <w:lang w:val="hr-HR"/>
        </w:rPr>
        <w:t>(</w:t>
      </w:r>
      <w:r w:rsidR="00472B51" w:rsidRPr="00AA2134">
        <w:rPr>
          <w:rFonts w:cs="Arial"/>
          <w:sz w:val="24"/>
          <w:szCs w:val="24"/>
          <w:lang w:val="hr-HR"/>
        </w:rPr>
        <w:t>1</w:t>
      </w:r>
      <w:r w:rsidR="00562664">
        <w:rPr>
          <w:rFonts w:cs="Arial"/>
          <w:sz w:val="24"/>
          <w:szCs w:val="24"/>
          <w:lang w:val="hr-HR"/>
        </w:rPr>
        <w:t>0,1%),</w:t>
      </w:r>
      <w:r w:rsidR="00401B12">
        <w:rPr>
          <w:rFonts w:cs="Arial"/>
          <w:sz w:val="24"/>
          <w:szCs w:val="24"/>
          <w:lang w:val="hr-HR"/>
        </w:rPr>
        <w:t xml:space="preserve"> Kina (10,0%) i</w:t>
      </w:r>
      <w:r w:rsidRPr="00422742">
        <w:rPr>
          <w:rFonts w:eastAsia="Calibri"/>
          <w:bCs/>
          <w:sz w:val="24"/>
          <w:szCs w:val="24"/>
          <w:lang w:val="la-Latn" w:eastAsia="en-US"/>
        </w:rPr>
        <w:t xml:space="preserve"> Austrija </w:t>
      </w:r>
      <w:r w:rsidR="00401B12">
        <w:rPr>
          <w:rFonts w:eastAsia="Calibri"/>
          <w:bCs/>
          <w:sz w:val="24"/>
          <w:szCs w:val="24"/>
          <w:lang w:val="hr-HR" w:eastAsia="en-US"/>
        </w:rPr>
        <w:t>(8</w:t>
      </w:r>
      <w:r w:rsidRPr="00422742">
        <w:rPr>
          <w:rFonts w:eastAsia="Calibri"/>
          <w:bCs/>
          <w:sz w:val="24"/>
          <w:szCs w:val="24"/>
          <w:lang w:val="la-Latn" w:eastAsia="en-US"/>
        </w:rPr>
        <w:t>,</w:t>
      </w:r>
      <w:r w:rsidR="00401B12">
        <w:rPr>
          <w:rFonts w:eastAsia="Calibri"/>
          <w:bCs/>
          <w:sz w:val="24"/>
          <w:szCs w:val="24"/>
          <w:lang w:val="hr-HR" w:eastAsia="en-US"/>
        </w:rPr>
        <w:t>8</w:t>
      </w:r>
      <w:r w:rsidR="00472B51">
        <w:rPr>
          <w:rFonts w:eastAsia="Calibri"/>
          <w:bCs/>
          <w:sz w:val="24"/>
          <w:szCs w:val="24"/>
          <w:lang w:val="la-Latn" w:eastAsia="en-US"/>
        </w:rPr>
        <w:t>%</w:t>
      </w:r>
      <w:r w:rsidR="00401B12">
        <w:rPr>
          <w:rFonts w:eastAsia="Calibri"/>
          <w:bCs/>
          <w:sz w:val="24"/>
          <w:szCs w:val="24"/>
          <w:lang w:val="hr-HR" w:eastAsia="en-US"/>
        </w:rPr>
        <w:t>).</w:t>
      </w:r>
    </w:p>
    <w:p w:rsidR="00472B51" w:rsidRDefault="00161404" w:rsidP="00472B51">
      <w:pPr>
        <w:pStyle w:val="INormal"/>
        <w:rPr>
          <w:sz w:val="24"/>
          <w:szCs w:val="24"/>
          <w:lang w:val="hr-HR"/>
        </w:rPr>
      </w:pPr>
      <w:r w:rsidRPr="00422742">
        <w:rPr>
          <w:b/>
          <w:sz w:val="24"/>
          <w:szCs w:val="24"/>
          <w:lang w:val="la-Latn"/>
        </w:rPr>
        <w:t>Najznačajniji uvozni proizvodi</w:t>
      </w:r>
      <w:r w:rsidR="00472B51">
        <w:rPr>
          <w:b/>
          <w:sz w:val="24"/>
          <w:szCs w:val="24"/>
          <w:lang w:val="hr-HR"/>
        </w:rPr>
        <w:t xml:space="preserve"> </w:t>
      </w:r>
      <w:r w:rsidR="00472B51">
        <w:rPr>
          <w:rFonts w:eastAsia="Calibri"/>
          <w:b/>
          <w:bCs/>
          <w:sz w:val="24"/>
          <w:szCs w:val="24"/>
          <w:lang w:val="hr-HR" w:eastAsia="en-US"/>
        </w:rPr>
        <w:t>u 202</w:t>
      </w:r>
      <w:r w:rsidR="0080740D">
        <w:rPr>
          <w:rFonts w:eastAsia="Calibri"/>
          <w:b/>
          <w:bCs/>
          <w:sz w:val="24"/>
          <w:szCs w:val="24"/>
          <w:lang w:val="hr-HR" w:eastAsia="en-US"/>
        </w:rPr>
        <w:t>1</w:t>
      </w:r>
      <w:r w:rsidRPr="00422742">
        <w:rPr>
          <w:b/>
          <w:sz w:val="24"/>
          <w:szCs w:val="24"/>
          <w:lang w:val="la-Latn"/>
        </w:rPr>
        <w:t>:</w:t>
      </w:r>
      <w:r w:rsidRPr="00422742">
        <w:rPr>
          <w:sz w:val="24"/>
          <w:szCs w:val="24"/>
          <w:lang w:val="la-Latn" w:eastAsia="en-US"/>
        </w:rPr>
        <w:t xml:space="preserve"> </w:t>
      </w:r>
      <w:r w:rsidR="00472B51">
        <w:rPr>
          <w:sz w:val="24"/>
          <w:szCs w:val="24"/>
          <w:lang w:val="hr-HR"/>
        </w:rPr>
        <w:t>farmaceutski proizvodi 16%, vozila 10%, električni proizvodi i oprema 9%, strojevi i mehanički uređaji 9%</w:t>
      </w:r>
    </w:p>
    <w:p w:rsidR="00112D7A" w:rsidRPr="00422742" w:rsidRDefault="00112D7A" w:rsidP="00112D7A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22742" w:rsidRPr="00422742" w:rsidTr="004A1323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A1323" w:rsidRPr="00422742" w:rsidRDefault="004A1323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422742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4A1323" w:rsidRPr="00422742" w:rsidRDefault="004A1323" w:rsidP="004A1323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422742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22742" w:rsidRPr="00422742" w:rsidTr="004A1323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A1323" w:rsidRPr="00422742" w:rsidRDefault="004A1323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422742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94650B" w:rsidRPr="00422742" w:rsidRDefault="008C3671" w:rsidP="000E721B">
      <w:pPr>
        <w:pStyle w:val="INormal"/>
        <w:spacing w:after="0"/>
        <w:ind w:right="-144"/>
        <w:jc w:val="center"/>
        <w:rPr>
          <w:rFonts w:cs="Arial"/>
          <w:i/>
          <w:lang w:val="la-Latn"/>
        </w:rPr>
      </w:pPr>
      <w:r w:rsidRPr="00422742">
        <w:rPr>
          <w:rFonts w:cs="Arial"/>
          <w:i/>
          <w:lang w:val="la-Latn"/>
        </w:rPr>
        <w:t xml:space="preserve">                                                                                                                         </w:t>
      </w:r>
      <w:r w:rsidR="00A10C91" w:rsidRPr="00422742">
        <w:rPr>
          <w:rFonts w:cs="Arial"/>
          <w:i/>
          <w:lang w:val="la-Latn"/>
        </w:rPr>
        <w:t xml:space="preserve">          U milijardama</w:t>
      </w:r>
      <w:r w:rsidR="00481EEC" w:rsidRPr="00422742">
        <w:rPr>
          <w:rFonts w:cs="Arial"/>
          <w:i/>
          <w:lang w:val="la-Latn"/>
        </w:rPr>
        <w:t xml:space="preserve"> </w:t>
      </w:r>
      <w:r w:rsidR="0007488C" w:rsidRPr="00422742">
        <w:rPr>
          <w:rFonts w:cs="Arial"/>
          <w:i/>
          <w:lang w:val="la-Latn"/>
        </w:rPr>
        <w:t>EUR</w:t>
      </w:r>
    </w:p>
    <w:tbl>
      <w:tblPr>
        <w:tblW w:w="92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01"/>
        <w:gridCol w:w="1501"/>
        <w:gridCol w:w="1501"/>
        <w:gridCol w:w="1501"/>
        <w:gridCol w:w="1501"/>
        <w:gridCol w:w="1501"/>
      </w:tblGrid>
      <w:tr w:rsidR="00D05819" w:rsidRPr="0051226A" w:rsidTr="006D397E">
        <w:trPr>
          <w:trHeight w:hRule="exact" w:val="397"/>
          <w:tblCellSpacing w:w="20" w:type="dxa"/>
        </w:trPr>
        <w:tc>
          <w:tcPr>
            <w:tcW w:w="1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D05819" w:rsidRPr="0051226A" w:rsidRDefault="00D05819" w:rsidP="00D05819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D05819" w:rsidRPr="0051226A" w:rsidRDefault="00D05819" w:rsidP="00D05819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51226A">
              <w:rPr>
                <w:rFonts w:eastAsia="Arial"/>
                <w:b/>
                <w:sz w:val="24"/>
                <w:szCs w:val="24"/>
                <w:lang w:val="la-Latn"/>
              </w:rPr>
              <w:t>2018.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D05819" w:rsidRPr="0051226A" w:rsidRDefault="00D05819" w:rsidP="00D05819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51226A">
              <w:rPr>
                <w:rFonts w:eastAsia="Arial"/>
                <w:b/>
                <w:sz w:val="24"/>
                <w:szCs w:val="24"/>
                <w:lang w:val="la-Latn"/>
              </w:rPr>
              <w:t>2019.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D05819" w:rsidRPr="0051226A" w:rsidRDefault="00D05819" w:rsidP="00D05819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51226A">
              <w:rPr>
                <w:rFonts w:eastAsia="Arial"/>
                <w:b/>
                <w:sz w:val="24"/>
                <w:szCs w:val="24"/>
                <w:lang w:val="la-Latn"/>
              </w:rPr>
              <w:t>2020.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D05819" w:rsidRPr="00BA447C" w:rsidRDefault="006B5868" w:rsidP="006B5868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A447C">
              <w:rPr>
                <w:rFonts w:eastAsia="Arial"/>
                <w:b/>
                <w:sz w:val="24"/>
                <w:szCs w:val="24"/>
                <w:lang w:val="la-Latn"/>
              </w:rPr>
              <w:t>202</w:t>
            </w:r>
            <w:r w:rsidRPr="00BA447C">
              <w:rPr>
                <w:rFonts w:eastAsia="Arial"/>
                <w:b/>
                <w:sz w:val="24"/>
                <w:szCs w:val="24"/>
              </w:rPr>
              <w:t>1</w:t>
            </w:r>
            <w:r w:rsidRPr="00BA447C">
              <w:rPr>
                <w:rFonts w:eastAsia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D05819" w:rsidRPr="00BA447C" w:rsidRDefault="006B5868" w:rsidP="00750888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A447C">
              <w:rPr>
                <w:rFonts w:eastAsia="Arial"/>
                <w:b/>
                <w:sz w:val="24"/>
                <w:szCs w:val="24"/>
              </w:rPr>
              <w:t>I</w:t>
            </w:r>
            <w:r w:rsidR="000E721B">
              <w:rPr>
                <w:rFonts w:eastAsia="Arial"/>
                <w:b/>
                <w:sz w:val="24"/>
                <w:szCs w:val="24"/>
              </w:rPr>
              <w:t>.</w:t>
            </w:r>
            <w:r w:rsidRPr="00BA447C">
              <w:rPr>
                <w:rFonts w:eastAsia="Arial"/>
                <w:b/>
                <w:sz w:val="24"/>
                <w:szCs w:val="24"/>
              </w:rPr>
              <w:t>-</w:t>
            </w:r>
            <w:r w:rsidR="00750888">
              <w:rPr>
                <w:rFonts w:eastAsia="Arial"/>
                <w:b/>
                <w:sz w:val="24"/>
                <w:szCs w:val="24"/>
              </w:rPr>
              <w:t>VI</w:t>
            </w:r>
            <w:r w:rsidR="000E721B">
              <w:rPr>
                <w:rFonts w:eastAsia="Arial"/>
                <w:b/>
                <w:sz w:val="24"/>
                <w:szCs w:val="24"/>
              </w:rPr>
              <w:t>.</w:t>
            </w:r>
            <w:r w:rsidRPr="00BA447C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BA447C">
              <w:rPr>
                <w:rFonts w:eastAsia="Arial"/>
                <w:b/>
                <w:sz w:val="24"/>
                <w:szCs w:val="24"/>
                <w:lang w:val="la-Latn"/>
              </w:rPr>
              <w:t>202</w:t>
            </w:r>
            <w:r w:rsidRPr="00BA447C">
              <w:rPr>
                <w:rFonts w:eastAsia="Arial"/>
                <w:b/>
                <w:sz w:val="24"/>
                <w:szCs w:val="24"/>
              </w:rPr>
              <w:t>2</w:t>
            </w:r>
            <w:r w:rsidRPr="00BA447C">
              <w:rPr>
                <w:rFonts w:eastAsia="Arial"/>
                <w:b/>
                <w:sz w:val="24"/>
                <w:szCs w:val="24"/>
                <w:lang w:val="la-Latn"/>
              </w:rPr>
              <w:t>.</w:t>
            </w:r>
          </w:p>
        </w:tc>
      </w:tr>
      <w:tr w:rsidR="00D05819" w:rsidRPr="0051226A" w:rsidTr="006D397E">
        <w:trPr>
          <w:trHeight w:hRule="exact" w:val="397"/>
          <w:tblCellSpacing w:w="20" w:type="dxa"/>
        </w:trPr>
        <w:tc>
          <w:tcPr>
            <w:tcW w:w="1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D05819" w:rsidRPr="0051226A" w:rsidRDefault="00D05819" w:rsidP="00D05819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51226A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51226A" w:rsidRDefault="00D05819" w:rsidP="00D05819">
            <w:pPr>
              <w:pStyle w:val="INormal"/>
              <w:spacing w:line="256" w:lineRule="auto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51226A">
              <w:rPr>
                <w:rFonts w:cs="Arial"/>
                <w:sz w:val="24"/>
                <w:szCs w:val="24"/>
                <w:lang w:val="la-Latn"/>
              </w:rPr>
              <w:t>1,6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51226A" w:rsidRDefault="00D05819" w:rsidP="00D05819">
            <w:pPr>
              <w:pStyle w:val="INormal"/>
              <w:spacing w:line="256" w:lineRule="auto"/>
              <w:jc w:val="center"/>
              <w:rPr>
                <w:rFonts w:cs="Arial"/>
                <w:sz w:val="24"/>
                <w:szCs w:val="24"/>
              </w:rPr>
            </w:pPr>
            <w:r w:rsidRPr="0051226A">
              <w:rPr>
                <w:rFonts w:cs="Arial"/>
                <w:sz w:val="24"/>
                <w:szCs w:val="24"/>
              </w:rPr>
              <w:t>1,6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51226A" w:rsidRDefault="00D05819" w:rsidP="00D05819">
            <w:pPr>
              <w:pStyle w:val="INormal"/>
              <w:spacing w:line="256" w:lineRule="auto"/>
              <w:jc w:val="center"/>
              <w:rPr>
                <w:rFonts w:cs="Arial"/>
                <w:sz w:val="24"/>
                <w:szCs w:val="24"/>
              </w:rPr>
            </w:pPr>
            <w:r w:rsidRPr="0051226A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BA447C" w:rsidRDefault="00750888" w:rsidP="00750888">
            <w:pPr>
              <w:spacing w:line="256" w:lineRule="auto"/>
              <w:jc w:val="center"/>
              <w:rPr>
                <w:sz w:val="24"/>
                <w:szCs w:val="24"/>
                <w:lang w:val="la-Latn"/>
              </w:rPr>
            </w:pPr>
            <w:r w:rsidRPr="0038466C">
              <w:rPr>
                <w:bCs/>
                <w:sz w:val="24"/>
                <w:szCs w:val="24"/>
                <w:lang w:val="la-Latn"/>
              </w:rPr>
              <w:t>1</w:t>
            </w:r>
            <w:r w:rsidR="00BA447C" w:rsidRPr="0038466C">
              <w:rPr>
                <w:bCs/>
                <w:sz w:val="24"/>
                <w:szCs w:val="24"/>
                <w:lang w:val="la-Latn"/>
              </w:rPr>
              <w:t>,</w:t>
            </w:r>
            <w:r w:rsidRPr="0038466C">
              <w:rPr>
                <w:bCs/>
                <w:sz w:val="24"/>
                <w:szCs w:val="24"/>
                <w:lang w:val="la-Latn"/>
              </w:rPr>
              <w:t>9</w:t>
            </w:r>
          </w:p>
        </w:tc>
        <w:tc>
          <w:tcPr>
            <w:tcW w:w="14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BA447C" w:rsidRDefault="00BA447C" w:rsidP="00D05819">
            <w:pPr>
              <w:spacing w:line="256" w:lineRule="auto"/>
              <w:jc w:val="center"/>
              <w:rPr>
                <w:sz w:val="24"/>
                <w:szCs w:val="24"/>
                <w:lang w:val="la-Latn"/>
              </w:rPr>
            </w:pPr>
            <w:r w:rsidRPr="0038466C">
              <w:rPr>
                <w:bCs/>
                <w:sz w:val="24"/>
                <w:szCs w:val="24"/>
                <w:lang w:val="la-Latn"/>
              </w:rPr>
              <w:t>1,</w:t>
            </w:r>
            <w:r w:rsidR="000E721B">
              <w:rPr>
                <w:bCs/>
                <w:sz w:val="24"/>
                <w:szCs w:val="24"/>
              </w:rPr>
              <w:t>2</w:t>
            </w:r>
          </w:p>
        </w:tc>
      </w:tr>
      <w:tr w:rsidR="00D05819" w:rsidRPr="0051226A" w:rsidTr="006D397E">
        <w:trPr>
          <w:trHeight w:hRule="exact" w:val="397"/>
          <w:tblCellSpacing w:w="20" w:type="dxa"/>
        </w:trPr>
        <w:tc>
          <w:tcPr>
            <w:tcW w:w="1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D05819" w:rsidRPr="0051226A" w:rsidRDefault="00D05819" w:rsidP="00D05819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51226A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51226A" w:rsidRDefault="00D05819" w:rsidP="00D05819">
            <w:pPr>
              <w:pStyle w:val="INormal"/>
              <w:spacing w:line="256" w:lineRule="auto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51226A">
              <w:rPr>
                <w:rFonts w:cs="Arial"/>
                <w:sz w:val="24"/>
                <w:szCs w:val="24"/>
                <w:lang w:val="la-Latn"/>
              </w:rPr>
              <w:t>2,6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51226A" w:rsidRDefault="00D05819" w:rsidP="00D05819">
            <w:pPr>
              <w:pStyle w:val="INormal"/>
              <w:spacing w:line="256" w:lineRule="auto"/>
              <w:jc w:val="center"/>
              <w:rPr>
                <w:rFonts w:cs="Arial"/>
                <w:sz w:val="24"/>
                <w:szCs w:val="24"/>
              </w:rPr>
            </w:pPr>
            <w:r w:rsidRPr="0051226A">
              <w:rPr>
                <w:rFonts w:cs="Arial"/>
                <w:sz w:val="24"/>
                <w:szCs w:val="24"/>
              </w:rPr>
              <w:t>2,8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51226A" w:rsidRDefault="00D05819" w:rsidP="00D05819">
            <w:pPr>
              <w:pStyle w:val="INormal"/>
              <w:spacing w:line="256" w:lineRule="auto"/>
              <w:jc w:val="center"/>
              <w:rPr>
                <w:rFonts w:cs="Arial"/>
                <w:sz w:val="24"/>
                <w:szCs w:val="24"/>
              </w:rPr>
            </w:pPr>
            <w:r w:rsidRPr="0051226A">
              <w:rPr>
                <w:rFonts w:cs="Arial"/>
                <w:sz w:val="24"/>
                <w:szCs w:val="24"/>
              </w:rPr>
              <w:t>2,6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BA447C" w:rsidRDefault="00BA447C" w:rsidP="00D05819">
            <w:pPr>
              <w:spacing w:line="256" w:lineRule="auto"/>
              <w:jc w:val="center"/>
              <w:rPr>
                <w:sz w:val="24"/>
                <w:szCs w:val="24"/>
                <w:lang w:val="la-Latn"/>
              </w:rPr>
            </w:pPr>
            <w:r w:rsidRPr="0038466C">
              <w:rPr>
                <w:bCs/>
                <w:sz w:val="24"/>
                <w:szCs w:val="24"/>
                <w:lang w:val="la-Latn"/>
              </w:rPr>
              <w:t>3,1</w:t>
            </w:r>
          </w:p>
        </w:tc>
        <w:tc>
          <w:tcPr>
            <w:tcW w:w="14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BA447C" w:rsidRDefault="00BA447C" w:rsidP="00D05819">
            <w:pPr>
              <w:spacing w:line="256" w:lineRule="auto"/>
              <w:jc w:val="center"/>
              <w:rPr>
                <w:sz w:val="24"/>
                <w:szCs w:val="24"/>
                <w:lang w:val="la-Latn"/>
              </w:rPr>
            </w:pPr>
            <w:r w:rsidRPr="0038466C">
              <w:rPr>
                <w:bCs/>
                <w:sz w:val="24"/>
                <w:szCs w:val="24"/>
                <w:lang w:val="la-Latn"/>
              </w:rPr>
              <w:t>2,</w:t>
            </w:r>
            <w:r w:rsidR="000E721B">
              <w:rPr>
                <w:bCs/>
                <w:sz w:val="24"/>
                <w:szCs w:val="24"/>
              </w:rPr>
              <w:t>2</w:t>
            </w:r>
          </w:p>
        </w:tc>
      </w:tr>
      <w:tr w:rsidR="00D05819" w:rsidRPr="0051226A" w:rsidTr="006D397E">
        <w:trPr>
          <w:trHeight w:hRule="exact" w:val="397"/>
          <w:tblCellSpacing w:w="20" w:type="dxa"/>
        </w:trPr>
        <w:tc>
          <w:tcPr>
            <w:tcW w:w="1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D05819" w:rsidRPr="0051226A" w:rsidRDefault="00D05819" w:rsidP="00D05819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51226A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51226A" w:rsidRDefault="00D05819" w:rsidP="00D05819">
            <w:pPr>
              <w:pStyle w:val="INormal"/>
              <w:spacing w:line="256" w:lineRule="auto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51226A">
              <w:rPr>
                <w:rFonts w:cs="Arial"/>
                <w:b/>
                <w:sz w:val="24"/>
                <w:szCs w:val="24"/>
                <w:lang w:val="la-Latn"/>
              </w:rPr>
              <w:t>4,2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51226A" w:rsidRDefault="00D05819" w:rsidP="00D05819">
            <w:pPr>
              <w:pStyle w:val="INormal"/>
              <w:spacing w:line="25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1226A">
              <w:rPr>
                <w:rFonts w:cs="Arial"/>
                <w:b/>
                <w:sz w:val="24"/>
                <w:szCs w:val="24"/>
              </w:rPr>
              <w:t>4,5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51226A" w:rsidRDefault="00D05819" w:rsidP="00D05819">
            <w:pPr>
              <w:pStyle w:val="INormal"/>
              <w:spacing w:line="25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1226A">
              <w:rPr>
                <w:rFonts w:cs="Arial"/>
                <w:b/>
                <w:sz w:val="24"/>
                <w:szCs w:val="24"/>
              </w:rPr>
              <w:t>4,1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BA447C" w:rsidRDefault="00BA447C" w:rsidP="00750888">
            <w:pPr>
              <w:spacing w:line="256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38466C">
              <w:rPr>
                <w:b/>
                <w:bCs/>
                <w:sz w:val="24"/>
                <w:szCs w:val="24"/>
                <w:lang w:val="la-Latn"/>
              </w:rPr>
              <w:t>5,</w:t>
            </w:r>
            <w:r w:rsidR="00750888" w:rsidRPr="0038466C">
              <w:rPr>
                <w:b/>
                <w:bCs/>
                <w:sz w:val="24"/>
                <w:szCs w:val="24"/>
                <w:lang w:val="la-Latn"/>
              </w:rPr>
              <w:t>0</w:t>
            </w:r>
          </w:p>
        </w:tc>
        <w:tc>
          <w:tcPr>
            <w:tcW w:w="14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BA447C" w:rsidRDefault="000E721B" w:rsidP="00D05819">
            <w:pPr>
              <w:spacing w:line="256" w:lineRule="auto"/>
              <w:jc w:val="center"/>
              <w:rPr>
                <w:b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A447C" w:rsidRPr="0038466C">
              <w:rPr>
                <w:b/>
                <w:bCs/>
                <w:sz w:val="24"/>
                <w:szCs w:val="24"/>
                <w:lang w:val="la-Latn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05819" w:rsidRPr="0051226A" w:rsidTr="006D397E">
        <w:trPr>
          <w:trHeight w:hRule="exact" w:val="397"/>
          <w:tblCellSpacing w:w="20" w:type="dxa"/>
        </w:trPr>
        <w:tc>
          <w:tcPr>
            <w:tcW w:w="1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D05819" w:rsidRPr="0051226A" w:rsidRDefault="00D05819" w:rsidP="00D05819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51226A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51226A" w:rsidRDefault="00D05819" w:rsidP="00D05819">
            <w:pPr>
              <w:pStyle w:val="INormal"/>
              <w:spacing w:line="256" w:lineRule="auto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51226A">
              <w:rPr>
                <w:rFonts w:cs="Arial"/>
                <w:sz w:val="24"/>
                <w:szCs w:val="24"/>
                <w:lang w:val="la-Latn"/>
              </w:rPr>
              <w:t>-1,0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51226A" w:rsidRDefault="00D05819" w:rsidP="00D05819">
            <w:pPr>
              <w:pStyle w:val="INormal"/>
              <w:spacing w:line="256" w:lineRule="auto"/>
              <w:jc w:val="center"/>
              <w:rPr>
                <w:rFonts w:cs="Arial"/>
                <w:sz w:val="24"/>
                <w:szCs w:val="24"/>
              </w:rPr>
            </w:pPr>
            <w:r w:rsidRPr="0051226A">
              <w:rPr>
                <w:rFonts w:cs="Arial"/>
                <w:sz w:val="24"/>
                <w:szCs w:val="24"/>
              </w:rPr>
              <w:t>-1,2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51226A" w:rsidRDefault="00D05819" w:rsidP="00D05819">
            <w:pPr>
              <w:pStyle w:val="INormal"/>
              <w:spacing w:line="256" w:lineRule="auto"/>
              <w:jc w:val="center"/>
              <w:rPr>
                <w:rFonts w:cs="Arial"/>
                <w:sz w:val="24"/>
                <w:szCs w:val="24"/>
              </w:rPr>
            </w:pPr>
            <w:r w:rsidRPr="0051226A">
              <w:rPr>
                <w:rFonts w:cs="Arial"/>
                <w:sz w:val="24"/>
                <w:szCs w:val="24"/>
              </w:rPr>
              <w:t>-1,1</w:t>
            </w:r>
          </w:p>
        </w:tc>
        <w:tc>
          <w:tcPr>
            <w:tcW w:w="1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BA447C" w:rsidRDefault="00750888" w:rsidP="00750888">
            <w:pPr>
              <w:spacing w:line="256" w:lineRule="auto"/>
              <w:jc w:val="center"/>
              <w:rPr>
                <w:sz w:val="24"/>
                <w:szCs w:val="24"/>
                <w:lang w:val="la-Latn"/>
              </w:rPr>
            </w:pPr>
            <w:r w:rsidRPr="0038466C">
              <w:rPr>
                <w:bCs/>
                <w:sz w:val="24"/>
                <w:szCs w:val="24"/>
                <w:lang w:val="la-Latn"/>
              </w:rPr>
              <w:t>-1</w:t>
            </w:r>
            <w:r w:rsidR="006B5868" w:rsidRPr="0038466C">
              <w:rPr>
                <w:bCs/>
                <w:sz w:val="24"/>
                <w:szCs w:val="24"/>
                <w:lang w:val="la-Latn"/>
              </w:rPr>
              <w:t>,</w:t>
            </w:r>
            <w:r w:rsidRPr="0038466C">
              <w:rPr>
                <w:bCs/>
                <w:sz w:val="24"/>
                <w:szCs w:val="24"/>
                <w:lang w:val="la-Latn"/>
              </w:rPr>
              <w:t>2</w:t>
            </w:r>
          </w:p>
        </w:tc>
        <w:tc>
          <w:tcPr>
            <w:tcW w:w="14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05819" w:rsidRPr="00BA447C" w:rsidRDefault="009B3F32" w:rsidP="00BA447C">
            <w:pPr>
              <w:spacing w:line="256" w:lineRule="auto"/>
              <w:ind w:hanging="1"/>
              <w:jc w:val="center"/>
              <w:rPr>
                <w:sz w:val="24"/>
                <w:szCs w:val="24"/>
                <w:lang w:val="la-Latn"/>
              </w:rPr>
            </w:pPr>
            <w:r w:rsidRPr="0038466C">
              <w:rPr>
                <w:bCs/>
                <w:sz w:val="24"/>
                <w:szCs w:val="24"/>
                <w:lang w:val="la-Latn"/>
              </w:rPr>
              <w:t>-</w:t>
            </w:r>
            <w:r w:rsidR="000E721B">
              <w:rPr>
                <w:bCs/>
                <w:sz w:val="24"/>
                <w:szCs w:val="24"/>
              </w:rPr>
              <w:t>1</w:t>
            </w:r>
            <w:r w:rsidRPr="0038466C">
              <w:rPr>
                <w:bCs/>
                <w:sz w:val="24"/>
                <w:szCs w:val="24"/>
                <w:lang w:val="la-Latn"/>
              </w:rPr>
              <w:t>,</w:t>
            </w:r>
            <w:r w:rsidR="000E721B">
              <w:rPr>
                <w:bCs/>
                <w:sz w:val="24"/>
                <w:szCs w:val="24"/>
              </w:rPr>
              <w:t>0</w:t>
            </w:r>
          </w:p>
        </w:tc>
      </w:tr>
    </w:tbl>
    <w:p w:rsidR="00112D7A" w:rsidRDefault="00112D7A" w:rsidP="00E214E0">
      <w:pPr>
        <w:pStyle w:val="INormal"/>
        <w:rPr>
          <w:rFonts w:cs="Arial"/>
          <w:i/>
          <w:lang w:val="la-Latn"/>
        </w:rPr>
      </w:pPr>
      <w:r w:rsidRPr="00422742">
        <w:rPr>
          <w:rFonts w:cs="Arial"/>
          <w:i/>
          <w:lang w:val="la-Latn"/>
        </w:rPr>
        <w:t xml:space="preserve">Izvor: </w:t>
      </w:r>
      <w:r w:rsidR="0029769F" w:rsidRPr="00422742">
        <w:rPr>
          <w:rFonts w:cs="Arial"/>
          <w:i/>
          <w:lang w:val="la-Latn"/>
        </w:rPr>
        <w:t>DZS</w:t>
      </w:r>
    </w:p>
    <w:p w:rsidR="00BC36B5" w:rsidRPr="00422742" w:rsidRDefault="00BC36B5" w:rsidP="00E214E0">
      <w:pPr>
        <w:pStyle w:val="INormal"/>
        <w:rPr>
          <w:rFonts w:cs="Arial"/>
          <w:i/>
          <w:lang w:val="la-Latn"/>
        </w:rPr>
      </w:pPr>
    </w:p>
    <w:tbl>
      <w:tblPr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81"/>
        <w:gridCol w:w="3741"/>
        <w:gridCol w:w="1843"/>
        <w:gridCol w:w="1417"/>
      </w:tblGrid>
      <w:tr w:rsidR="00422742" w:rsidRPr="00422742" w:rsidTr="00422742">
        <w:trPr>
          <w:trHeight w:val="539"/>
          <w:tblCellSpacing w:w="20" w:type="dxa"/>
        </w:trPr>
        <w:tc>
          <w:tcPr>
            <w:tcW w:w="9155" w:type="dxa"/>
            <w:gridSpan w:val="5"/>
            <w:shd w:val="clear" w:color="auto" w:fill="9CC2E5" w:themeFill="accent1" w:themeFillTint="99"/>
            <w:vAlign w:val="center"/>
          </w:tcPr>
          <w:p w:rsidR="00112D7A" w:rsidRPr="00422742" w:rsidRDefault="008C3671" w:rsidP="005A0D18">
            <w:pPr>
              <w:spacing w:after="0"/>
              <w:rPr>
                <w:rFonts w:eastAsia="Arial"/>
                <w:b/>
                <w:sz w:val="24"/>
                <w:szCs w:val="24"/>
              </w:rPr>
            </w:pPr>
            <w:r w:rsidRPr="00422742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F465EB" w:rsidRPr="00422742">
              <w:rPr>
                <w:rFonts w:eastAsia="Arial"/>
                <w:b/>
                <w:sz w:val="24"/>
                <w:szCs w:val="24"/>
              </w:rPr>
              <w:t xml:space="preserve">U </w:t>
            </w:r>
            <w:r w:rsidR="00F465EB">
              <w:rPr>
                <w:rFonts w:eastAsia="Arial"/>
                <w:b/>
                <w:sz w:val="24"/>
                <w:szCs w:val="24"/>
              </w:rPr>
              <w:t xml:space="preserve">I-VI </w:t>
            </w:r>
            <w:r w:rsidR="00F465EB" w:rsidRPr="00422742">
              <w:rPr>
                <w:rFonts w:eastAsia="Arial"/>
                <w:b/>
                <w:sz w:val="24"/>
                <w:szCs w:val="24"/>
              </w:rPr>
              <w:t>20</w:t>
            </w:r>
            <w:r w:rsidR="00F465EB">
              <w:rPr>
                <w:rFonts w:eastAsia="Arial"/>
                <w:b/>
                <w:sz w:val="24"/>
                <w:szCs w:val="24"/>
              </w:rPr>
              <w:t>22</w:t>
            </w:r>
            <w:r w:rsidR="00F465EB" w:rsidRPr="00422742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422742" w:rsidRPr="00422742" w:rsidTr="00422742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422742" w:rsidRDefault="00112D7A" w:rsidP="009E0F93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112D7A" w:rsidRPr="00422742" w:rsidRDefault="00112D7A" w:rsidP="009E0F93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112D7A" w:rsidRPr="00422742" w:rsidRDefault="00112D7A" w:rsidP="009E0F93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112D7A" w:rsidRPr="00422742" w:rsidRDefault="0007488C" w:rsidP="009E0F93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12D7A" w:rsidRPr="00422742" w:rsidRDefault="00481EEC" w:rsidP="009E0F93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422742" w:rsidRPr="00422742" w:rsidTr="00422742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E214E0" w:rsidRPr="00422742" w:rsidRDefault="00E214E0" w:rsidP="009E0F93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42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B512B" w:rsidRPr="00422742" w:rsidRDefault="004B512B" w:rsidP="004B512B">
            <w:pPr>
              <w:spacing w:after="0"/>
              <w:jc w:val="center"/>
              <w:rPr>
                <w:sz w:val="24"/>
                <w:szCs w:val="24"/>
              </w:rPr>
            </w:pPr>
            <w:r w:rsidRPr="00422742">
              <w:rPr>
                <w:sz w:val="24"/>
                <w:szCs w:val="24"/>
                <w:lang w:val="la-Latn"/>
              </w:rPr>
              <w:t>7606</w:t>
            </w:r>
          </w:p>
          <w:p w:rsidR="004B512B" w:rsidRPr="00422742" w:rsidRDefault="004B512B" w:rsidP="009E0F93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</w:p>
        </w:tc>
        <w:tc>
          <w:tcPr>
            <w:tcW w:w="370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214E0" w:rsidRPr="00422742" w:rsidRDefault="004B512B" w:rsidP="004B512B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422742">
              <w:rPr>
                <w:sz w:val="24"/>
                <w:szCs w:val="24"/>
                <w:lang w:val="la-Latn"/>
              </w:rPr>
              <w:t>Ploče, limovi i vrpce od aluminija, debljine veće od 0,2</w:t>
            </w:r>
            <w:r w:rsidRPr="00422742">
              <w:rPr>
                <w:sz w:val="24"/>
                <w:szCs w:val="24"/>
              </w:rPr>
              <w:t xml:space="preserve"> </w:t>
            </w:r>
            <w:r w:rsidRPr="00422742">
              <w:rPr>
                <w:sz w:val="24"/>
                <w:szCs w:val="24"/>
                <w:lang w:val="la-Latn"/>
              </w:rPr>
              <w:t>mm</w:t>
            </w:r>
          </w:p>
        </w:tc>
        <w:tc>
          <w:tcPr>
            <w:tcW w:w="180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5496A" w:rsidRPr="00422742" w:rsidRDefault="0075496A" w:rsidP="009E0F93">
            <w:pPr>
              <w:spacing w:after="0"/>
              <w:jc w:val="center"/>
              <w:rPr>
                <w:sz w:val="24"/>
                <w:szCs w:val="24"/>
              </w:rPr>
            </w:pPr>
            <w:r w:rsidRPr="00422742">
              <w:rPr>
                <w:sz w:val="24"/>
                <w:szCs w:val="24"/>
              </w:rPr>
              <w:t>12</w:t>
            </w:r>
            <w:r w:rsidR="004B512B">
              <w:rPr>
                <w:sz w:val="24"/>
                <w:szCs w:val="24"/>
              </w:rPr>
              <w:t>4</w:t>
            </w:r>
            <w:r w:rsidRPr="00422742">
              <w:rPr>
                <w:sz w:val="24"/>
                <w:szCs w:val="24"/>
              </w:rPr>
              <w:t>.</w:t>
            </w:r>
            <w:r w:rsidR="004B512B">
              <w:rPr>
                <w:sz w:val="24"/>
                <w:szCs w:val="24"/>
              </w:rPr>
              <w:t>369</w:t>
            </w:r>
            <w:r w:rsidRPr="00422742">
              <w:rPr>
                <w:sz w:val="24"/>
                <w:szCs w:val="24"/>
              </w:rPr>
              <w:t>.</w:t>
            </w:r>
            <w:r w:rsidR="004B512B">
              <w:rPr>
                <w:sz w:val="24"/>
                <w:szCs w:val="24"/>
              </w:rPr>
              <w:t>5</w:t>
            </w:r>
            <w:r w:rsidRPr="00422742">
              <w:rPr>
                <w:sz w:val="24"/>
                <w:szCs w:val="24"/>
              </w:rPr>
              <w:t>7</w:t>
            </w:r>
            <w:r w:rsidR="004B512B">
              <w:rPr>
                <w:sz w:val="24"/>
                <w:szCs w:val="24"/>
              </w:rPr>
              <w:t>1</w:t>
            </w:r>
          </w:p>
          <w:p w:rsidR="00E214E0" w:rsidRPr="00422742" w:rsidRDefault="00E214E0" w:rsidP="009E0F93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214E0" w:rsidRPr="00422742" w:rsidRDefault="00D51EDC" w:rsidP="00D51E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382A" w:rsidRPr="004227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557994" w:rsidRPr="00422742" w:rsidTr="00422742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57994" w:rsidRPr="00422742" w:rsidRDefault="00557994" w:rsidP="00557994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42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Default="00557994" w:rsidP="00557994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422742">
              <w:rPr>
                <w:sz w:val="24"/>
                <w:szCs w:val="24"/>
                <w:lang w:val="la-Latn"/>
              </w:rPr>
              <w:t>2716</w:t>
            </w:r>
          </w:p>
          <w:p w:rsidR="00557994" w:rsidRPr="00422742" w:rsidRDefault="00557994" w:rsidP="00557994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370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Pr="00422742" w:rsidRDefault="00557994" w:rsidP="00557994">
            <w:pPr>
              <w:spacing w:after="0"/>
              <w:rPr>
                <w:sz w:val="24"/>
                <w:szCs w:val="24"/>
              </w:rPr>
            </w:pPr>
            <w:r w:rsidRPr="00422742">
              <w:rPr>
                <w:sz w:val="24"/>
                <w:szCs w:val="24"/>
                <w:lang w:val="la-Latn"/>
              </w:rPr>
              <w:t>Električna energija</w:t>
            </w:r>
          </w:p>
          <w:p w:rsidR="00557994" w:rsidRPr="00422742" w:rsidRDefault="00557994" w:rsidP="00557994">
            <w:pPr>
              <w:spacing w:after="0"/>
              <w:rPr>
                <w:sz w:val="24"/>
                <w:szCs w:val="24"/>
                <w:lang w:val="la-Latn"/>
              </w:rPr>
            </w:pPr>
          </w:p>
        </w:tc>
        <w:tc>
          <w:tcPr>
            <w:tcW w:w="180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Pr="00422742" w:rsidRDefault="00557994" w:rsidP="0055799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4227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613</w:t>
            </w:r>
            <w:r w:rsidRPr="00422742">
              <w:rPr>
                <w:sz w:val="24"/>
                <w:szCs w:val="24"/>
              </w:rPr>
              <w:t>.8</w:t>
            </w:r>
            <w:r>
              <w:rPr>
                <w:sz w:val="24"/>
                <w:szCs w:val="24"/>
              </w:rPr>
              <w:t>87</w:t>
            </w:r>
          </w:p>
          <w:p w:rsidR="00557994" w:rsidRPr="00422742" w:rsidRDefault="00557994" w:rsidP="00557994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Pr="00422742" w:rsidRDefault="00816D06" w:rsidP="00816D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579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557994" w:rsidRPr="00422742" w:rsidTr="00422742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57994" w:rsidRPr="00422742" w:rsidRDefault="00557994" w:rsidP="00557994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42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Default="00557994" w:rsidP="00557994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422742">
              <w:rPr>
                <w:sz w:val="24"/>
                <w:szCs w:val="24"/>
                <w:lang w:val="la-Latn"/>
              </w:rPr>
              <w:t>8708</w:t>
            </w:r>
          </w:p>
          <w:p w:rsidR="00557994" w:rsidRPr="00422742" w:rsidRDefault="00557994" w:rsidP="00557994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370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Pr="00422742" w:rsidRDefault="00557994" w:rsidP="00557994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422742">
              <w:rPr>
                <w:sz w:val="24"/>
                <w:szCs w:val="24"/>
                <w:lang w:val="la-Latn"/>
              </w:rPr>
              <w:t>Dijelovi i pribor za vučna vozila, motorna vozila za prijevoz 10 ili više osoba</w:t>
            </w:r>
          </w:p>
        </w:tc>
        <w:tc>
          <w:tcPr>
            <w:tcW w:w="180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Pr="00422742" w:rsidRDefault="00557994" w:rsidP="00557994">
            <w:pPr>
              <w:spacing w:after="0"/>
              <w:jc w:val="center"/>
              <w:rPr>
                <w:sz w:val="24"/>
                <w:szCs w:val="24"/>
              </w:rPr>
            </w:pPr>
            <w:r w:rsidRPr="004227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4227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426</w:t>
            </w:r>
            <w:r w:rsidRPr="004227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412</w:t>
            </w:r>
          </w:p>
          <w:p w:rsidR="00557994" w:rsidRPr="00422742" w:rsidRDefault="00557994" w:rsidP="00557994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Pr="00422742" w:rsidRDefault="00816D06" w:rsidP="00816D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79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557994" w:rsidRPr="00422742" w:rsidTr="00422742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57994" w:rsidRPr="00422742" w:rsidRDefault="00557994" w:rsidP="00557994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422742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Pr="00422742" w:rsidRDefault="00557994" w:rsidP="00557994">
            <w:pPr>
              <w:spacing w:after="0"/>
              <w:jc w:val="center"/>
              <w:rPr>
                <w:sz w:val="24"/>
                <w:szCs w:val="24"/>
              </w:rPr>
            </w:pPr>
            <w:r w:rsidRPr="00422742">
              <w:rPr>
                <w:sz w:val="24"/>
                <w:szCs w:val="24"/>
              </w:rPr>
              <w:t>7010</w:t>
            </w:r>
          </w:p>
        </w:tc>
        <w:tc>
          <w:tcPr>
            <w:tcW w:w="370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Pr="00422742" w:rsidRDefault="00557994" w:rsidP="00557994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422742">
              <w:rPr>
                <w:sz w:val="24"/>
                <w:szCs w:val="24"/>
              </w:rPr>
              <w:t>Boce, tegle, lonci, fiole, ampule i ostalo</w:t>
            </w:r>
          </w:p>
        </w:tc>
        <w:tc>
          <w:tcPr>
            <w:tcW w:w="180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Pr="00422742" w:rsidRDefault="00557994" w:rsidP="00557994">
            <w:pPr>
              <w:spacing w:after="0"/>
              <w:jc w:val="center"/>
              <w:rPr>
                <w:sz w:val="24"/>
                <w:szCs w:val="24"/>
              </w:rPr>
            </w:pPr>
            <w:r w:rsidRPr="004227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4227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647</w:t>
            </w:r>
            <w:r w:rsidRPr="004227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690</w:t>
            </w:r>
          </w:p>
          <w:p w:rsidR="00557994" w:rsidRPr="00422742" w:rsidRDefault="00557994" w:rsidP="00557994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Pr="00422742" w:rsidRDefault="00557994" w:rsidP="000C3A45">
            <w:pPr>
              <w:spacing w:after="0"/>
              <w:jc w:val="center"/>
              <w:rPr>
                <w:sz w:val="24"/>
                <w:szCs w:val="24"/>
              </w:rPr>
            </w:pPr>
            <w:r w:rsidRPr="004227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0C3A45">
              <w:rPr>
                <w:sz w:val="24"/>
                <w:szCs w:val="24"/>
              </w:rPr>
              <w:t>6</w:t>
            </w:r>
          </w:p>
        </w:tc>
      </w:tr>
      <w:tr w:rsidR="00557994" w:rsidRPr="00422742" w:rsidTr="00422742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57994" w:rsidRPr="00422742" w:rsidRDefault="00557994" w:rsidP="00557994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42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Pr="00422742" w:rsidRDefault="00557994" w:rsidP="0055799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7108</w:t>
            </w:r>
          </w:p>
        </w:tc>
        <w:tc>
          <w:tcPr>
            <w:tcW w:w="370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Pr="004B512B" w:rsidRDefault="00557994" w:rsidP="0055799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Zlato, neobrađeno ili u obliku proizvoda</w:t>
            </w:r>
          </w:p>
        </w:tc>
        <w:tc>
          <w:tcPr>
            <w:tcW w:w="180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Pr="00422742" w:rsidRDefault="00557994" w:rsidP="00557994">
            <w:pPr>
              <w:spacing w:after="0"/>
              <w:jc w:val="center"/>
              <w:rPr>
                <w:sz w:val="24"/>
                <w:szCs w:val="24"/>
              </w:rPr>
            </w:pPr>
            <w:r w:rsidRPr="004227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4227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972</w:t>
            </w:r>
            <w:r w:rsidRPr="004227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944</w:t>
            </w:r>
          </w:p>
          <w:p w:rsidR="00557994" w:rsidRPr="00422742" w:rsidRDefault="00557994" w:rsidP="00557994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7994" w:rsidRPr="00422742" w:rsidRDefault="00557994" w:rsidP="0055799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2742">
              <w:rPr>
                <w:sz w:val="24"/>
                <w:szCs w:val="24"/>
              </w:rPr>
              <w:t>,</w:t>
            </w:r>
            <w:r w:rsidR="000C3A45">
              <w:rPr>
                <w:sz w:val="24"/>
                <w:szCs w:val="24"/>
              </w:rPr>
              <w:t>5</w:t>
            </w:r>
          </w:p>
        </w:tc>
      </w:tr>
      <w:tr w:rsidR="00557994" w:rsidRPr="00422742" w:rsidTr="00422742">
        <w:trPr>
          <w:trHeight w:val="392"/>
          <w:tblCellSpacing w:w="20" w:type="dxa"/>
        </w:trPr>
        <w:tc>
          <w:tcPr>
            <w:tcW w:w="5915" w:type="dxa"/>
            <w:gridSpan w:val="3"/>
            <w:shd w:val="clear" w:color="auto" w:fill="FFFFFF"/>
            <w:vAlign w:val="center"/>
          </w:tcPr>
          <w:p w:rsidR="00557994" w:rsidRPr="00422742" w:rsidRDefault="00557994" w:rsidP="00557994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803" w:type="dxa"/>
            <w:shd w:val="clear" w:color="auto" w:fill="FFFFFF"/>
          </w:tcPr>
          <w:p w:rsidR="00557994" w:rsidRPr="00422742" w:rsidRDefault="00557994" w:rsidP="0055799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2274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34</w:t>
            </w:r>
            <w:r w:rsidRPr="004227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030</w:t>
            </w:r>
            <w:r w:rsidRPr="004227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1357" w:type="dxa"/>
            <w:shd w:val="clear" w:color="auto" w:fill="FFFFFF"/>
          </w:tcPr>
          <w:p w:rsidR="00557994" w:rsidRPr="00422742" w:rsidRDefault="00557994" w:rsidP="000C3A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C3A45">
              <w:rPr>
                <w:b/>
                <w:sz w:val="24"/>
                <w:szCs w:val="24"/>
              </w:rPr>
              <w:t>7</w:t>
            </w:r>
            <w:r w:rsidRPr="00422742">
              <w:rPr>
                <w:b/>
                <w:sz w:val="24"/>
                <w:szCs w:val="24"/>
              </w:rPr>
              <w:t>,</w:t>
            </w:r>
            <w:r w:rsidR="000C3A45">
              <w:rPr>
                <w:b/>
                <w:sz w:val="24"/>
                <w:szCs w:val="24"/>
              </w:rPr>
              <w:t>6</w:t>
            </w:r>
          </w:p>
        </w:tc>
      </w:tr>
      <w:tr w:rsidR="00557994" w:rsidRPr="00422742" w:rsidTr="00422742">
        <w:trPr>
          <w:trHeight w:val="392"/>
          <w:tblCellSpacing w:w="20" w:type="dxa"/>
        </w:trPr>
        <w:tc>
          <w:tcPr>
            <w:tcW w:w="5915" w:type="dxa"/>
            <w:gridSpan w:val="3"/>
            <w:shd w:val="clear" w:color="auto" w:fill="FFFFFF"/>
            <w:vAlign w:val="center"/>
          </w:tcPr>
          <w:p w:rsidR="00557994" w:rsidRPr="00422742" w:rsidRDefault="00557994" w:rsidP="00557994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803" w:type="dxa"/>
            <w:shd w:val="clear" w:color="auto" w:fill="FFFFFF"/>
          </w:tcPr>
          <w:p w:rsidR="00557994" w:rsidRPr="00422742" w:rsidRDefault="00557994" w:rsidP="00DB2289">
            <w:pPr>
              <w:spacing w:after="0"/>
              <w:rPr>
                <w:b/>
                <w:sz w:val="24"/>
                <w:szCs w:val="24"/>
                <w:lang w:val="la-Latn"/>
              </w:rPr>
            </w:pPr>
            <w:r w:rsidRPr="00422742">
              <w:rPr>
                <w:b/>
                <w:sz w:val="24"/>
                <w:szCs w:val="24"/>
              </w:rPr>
              <w:t>1.</w:t>
            </w:r>
            <w:r w:rsidR="00DB2289">
              <w:rPr>
                <w:b/>
                <w:sz w:val="24"/>
                <w:szCs w:val="24"/>
              </w:rPr>
              <w:t>200</w:t>
            </w:r>
            <w:r>
              <w:rPr>
                <w:b/>
                <w:sz w:val="24"/>
                <w:szCs w:val="24"/>
              </w:rPr>
              <w:t>.</w:t>
            </w:r>
            <w:r w:rsidR="00DB2289">
              <w:rPr>
                <w:b/>
                <w:sz w:val="24"/>
                <w:szCs w:val="24"/>
              </w:rPr>
              <w:t>911</w:t>
            </w:r>
            <w:r w:rsidRPr="0042274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DB228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57" w:type="dxa"/>
            <w:shd w:val="clear" w:color="auto" w:fill="FFFFFF"/>
          </w:tcPr>
          <w:p w:rsidR="00557994" w:rsidRPr="00422742" w:rsidRDefault="00557994" w:rsidP="00557994">
            <w:pPr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422742">
              <w:rPr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8C3671" w:rsidRDefault="00481EEC" w:rsidP="008C3671">
      <w:pPr>
        <w:pStyle w:val="INormal"/>
        <w:rPr>
          <w:rFonts w:cs="Arial"/>
          <w:i/>
          <w:lang w:val="la-Latn"/>
        </w:rPr>
      </w:pPr>
      <w:r w:rsidRPr="00422742">
        <w:rPr>
          <w:rFonts w:cs="Arial"/>
          <w:i/>
          <w:lang w:val="la-Latn"/>
        </w:rPr>
        <w:t xml:space="preserve">Izvor: </w:t>
      </w:r>
      <w:r w:rsidR="00262FC7" w:rsidRPr="00422742">
        <w:rPr>
          <w:rFonts w:cs="Arial"/>
          <w:i/>
          <w:lang w:val="la-Latn"/>
        </w:rPr>
        <w:t>DZS</w:t>
      </w:r>
    </w:p>
    <w:p w:rsidR="00FE1B07" w:rsidRDefault="00FE1B07" w:rsidP="008C3671">
      <w:pPr>
        <w:pStyle w:val="INormal"/>
        <w:rPr>
          <w:rFonts w:cs="Arial"/>
          <w:i/>
          <w:lang w:val="la-Latn"/>
        </w:rPr>
      </w:pPr>
    </w:p>
    <w:tbl>
      <w:tblPr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3"/>
        <w:gridCol w:w="1376"/>
        <w:gridCol w:w="3746"/>
        <w:gridCol w:w="1843"/>
        <w:gridCol w:w="1417"/>
      </w:tblGrid>
      <w:tr w:rsidR="00422742" w:rsidRPr="00422742" w:rsidTr="00422742">
        <w:trPr>
          <w:trHeight w:val="569"/>
          <w:tblCellSpacing w:w="20" w:type="dxa"/>
        </w:trPr>
        <w:tc>
          <w:tcPr>
            <w:tcW w:w="9155" w:type="dxa"/>
            <w:gridSpan w:val="5"/>
            <w:shd w:val="clear" w:color="auto" w:fill="9CC2E5" w:themeFill="accent1" w:themeFillTint="99"/>
            <w:vAlign w:val="center"/>
          </w:tcPr>
          <w:p w:rsidR="00481EEC" w:rsidRPr="00422742" w:rsidRDefault="008C3671" w:rsidP="00F83552">
            <w:pPr>
              <w:spacing w:after="0"/>
              <w:rPr>
                <w:rFonts w:eastAsia="Arial"/>
                <w:b/>
                <w:sz w:val="24"/>
                <w:szCs w:val="24"/>
              </w:rPr>
            </w:pPr>
            <w:r w:rsidRPr="00422742">
              <w:rPr>
                <w:rFonts w:eastAsia="Arial"/>
                <w:b/>
                <w:sz w:val="24"/>
                <w:szCs w:val="24"/>
                <w:lang w:val="la-Latn"/>
              </w:rPr>
              <w:lastRenderedPageBreak/>
              <w:t xml:space="preserve">STRUKTURA NAJZNAČAJNIJIH UVOZNIH PROIZVODA </w:t>
            </w:r>
            <w:r w:rsidR="00AA658F" w:rsidRPr="00422742">
              <w:rPr>
                <w:rFonts w:eastAsia="Arial"/>
                <w:b/>
                <w:sz w:val="24"/>
                <w:szCs w:val="24"/>
              </w:rPr>
              <w:t>U</w:t>
            </w:r>
            <w:r w:rsidR="00262FC7" w:rsidRPr="00422742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CD3D2B">
              <w:rPr>
                <w:rFonts w:eastAsia="Arial"/>
                <w:b/>
                <w:sz w:val="24"/>
                <w:szCs w:val="24"/>
              </w:rPr>
              <w:t xml:space="preserve">I-VI </w:t>
            </w:r>
            <w:r w:rsidR="00262FC7" w:rsidRPr="00422742">
              <w:rPr>
                <w:rFonts w:eastAsia="Arial"/>
                <w:b/>
                <w:sz w:val="24"/>
                <w:szCs w:val="24"/>
              </w:rPr>
              <w:t>20</w:t>
            </w:r>
            <w:r w:rsidR="00CD3D2B">
              <w:rPr>
                <w:rFonts w:eastAsia="Arial"/>
                <w:b/>
                <w:sz w:val="24"/>
                <w:szCs w:val="24"/>
              </w:rPr>
              <w:t>22</w:t>
            </w:r>
            <w:r w:rsidR="00262FC7" w:rsidRPr="00422742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422742" w:rsidRPr="00422742" w:rsidTr="00422742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422742" w:rsidRDefault="00481EEC" w:rsidP="00D22751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481EEC" w:rsidRPr="00422742" w:rsidRDefault="00481EEC" w:rsidP="00D22751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06" w:type="dxa"/>
            <w:shd w:val="clear" w:color="auto" w:fill="FFFFFF"/>
            <w:vAlign w:val="center"/>
          </w:tcPr>
          <w:p w:rsidR="00481EEC" w:rsidRPr="00422742" w:rsidRDefault="00481EEC" w:rsidP="00D22751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481EEC" w:rsidRPr="00422742" w:rsidRDefault="0007488C" w:rsidP="00D22751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81EEC" w:rsidRPr="00422742" w:rsidRDefault="00481EEC" w:rsidP="00D22751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2C18B2" w:rsidRPr="00422742" w:rsidTr="00422742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C18B2" w:rsidRPr="00422742" w:rsidRDefault="002C18B2" w:rsidP="002C18B2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42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Pr="00422742" w:rsidRDefault="002C18B2" w:rsidP="002C18B2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422742">
              <w:rPr>
                <w:sz w:val="24"/>
                <w:szCs w:val="24"/>
                <w:lang w:val="la-Latn"/>
              </w:rPr>
              <w:t>2710</w:t>
            </w:r>
          </w:p>
        </w:tc>
        <w:tc>
          <w:tcPr>
            <w:tcW w:w="370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Pr="00422742" w:rsidRDefault="002C18B2" w:rsidP="002C18B2">
            <w:pPr>
              <w:spacing w:after="0"/>
              <w:rPr>
                <w:sz w:val="24"/>
                <w:szCs w:val="24"/>
                <w:lang w:val="la-Latn"/>
              </w:rPr>
            </w:pPr>
            <w:r w:rsidRPr="00422742">
              <w:rPr>
                <w:sz w:val="24"/>
                <w:szCs w:val="24"/>
                <w:lang w:val="la-Latn"/>
              </w:rPr>
              <w:t>Naftna ulja i ulja, dobivena od bitumenskih minerala (osim sirovih)</w:t>
            </w:r>
          </w:p>
        </w:tc>
        <w:tc>
          <w:tcPr>
            <w:tcW w:w="180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Pr="002A5CA6" w:rsidRDefault="002A5CA6" w:rsidP="00967E81">
            <w:pPr>
              <w:spacing w:after="0"/>
              <w:jc w:val="center"/>
              <w:rPr>
                <w:sz w:val="24"/>
                <w:szCs w:val="24"/>
              </w:rPr>
            </w:pPr>
            <w:r w:rsidRPr="002A5CA6">
              <w:rPr>
                <w:sz w:val="24"/>
                <w:szCs w:val="24"/>
                <w:lang w:eastAsia="hr-HR"/>
              </w:rPr>
              <w:t>112.949.956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Pr="00422742" w:rsidRDefault="004820A7" w:rsidP="002C18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18B2" w:rsidRPr="00422742">
              <w:rPr>
                <w:sz w:val="24"/>
                <w:szCs w:val="24"/>
              </w:rPr>
              <w:t>,</w:t>
            </w:r>
            <w:r w:rsidR="002C18B2">
              <w:rPr>
                <w:sz w:val="24"/>
                <w:szCs w:val="24"/>
              </w:rPr>
              <w:t>1</w:t>
            </w:r>
          </w:p>
        </w:tc>
      </w:tr>
      <w:tr w:rsidR="002C18B2" w:rsidRPr="00422742" w:rsidTr="00422742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C18B2" w:rsidRPr="00422742" w:rsidRDefault="002C18B2" w:rsidP="002C18B2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42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Pr="00422742" w:rsidRDefault="002C18B2" w:rsidP="002C18B2">
            <w:pPr>
              <w:suppressAutoHyphens w:val="0"/>
              <w:spacing w:after="0"/>
              <w:jc w:val="center"/>
              <w:rPr>
                <w:sz w:val="24"/>
                <w:szCs w:val="24"/>
              </w:rPr>
            </w:pPr>
            <w:r w:rsidRPr="00422742">
              <w:rPr>
                <w:sz w:val="24"/>
                <w:szCs w:val="24"/>
                <w:lang w:val="la-Latn"/>
              </w:rPr>
              <w:t>8703</w:t>
            </w:r>
          </w:p>
          <w:p w:rsidR="002C18B2" w:rsidRPr="00422742" w:rsidRDefault="002C18B2" w:rsidP="002C18B2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370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Pr="00422742" w:rsidRDefault="002C18B2" w:rsidP="002C18B2">
            <w:pPr>
              <w:spacing w:after="0"/>
              <w:rPr>
                <w:sz w:val="24"/>
                <w:szCs w:val="24"/>
              </w:rPr>
            </w:pPr>
            <w:r w:rsidRPr="00422742">
              <w:rPr>
                <w:sz w:val="24"/>
                <w:szCs w:val="24"/>
                <w:lang w:val="la-Latn"/>
              </w:rPr>
              <w:t>Osobni automobili i ostala motorna vozila konstruirana prvenstveno za prijevoz manje od deset osoba</w:t>
            </w:r>
          </w:p>
        </w:tc>
        <w:tc>
          <w:tcPr>
            <w:tcW w:w="180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Pr="002A5CA6" w:rsidRDefault="002A5CA6" w:rsidP="002C18B2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2A5CA6">
              <w:rPr>
                <w:sz w:val="24"/>
                <w:szCs w:val="24"/>
                <w:lang w:eastAsia="hr-HR"/>
              </w:rPr>
              <w:t>98.288.963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Pr="00422742" w:rsidRDefault="004820A7" w:rsidP="002C18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C18B2" w:rsidRPr="00422742" w:rsidTr="00422742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C18B2" w:rsidRPr="00422742" w:rsidRDefault="002C18B2" w:rsidP="002C18B2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42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Pr="00967E81" w:rsidRDefault="00967E81" w:rsidP="002C18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2711</w:t>
            </w:r>
          </w:p>
        </w:tc>
        <w:tc>
          <w:tcPr>
            <w:tcW w:w="370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Pr="00967E81" w:rsidRDefault="00967E81" w:rsidP="002C18B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Naftni plinovi i ostali plinoviti ugljikovodici</w:t>
            </w:r>
          </w:p>
        </w:tc>
        <w:tc>
          <w:tcPr>
            <w:tcW w:w="180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Pr="002A5CA6" w:rsidRDefault="002A5CA6" w:rsidP="002C18B2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2A5CA6">
              <w:rPr>
                <w:sz w:val="24"/>
                <w:szCs w:val="24"/>
                <w:lang w:eastAsia="hr-HR"/>
              </w:rPr>
              <w:t>50.954.539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Pr="00422742" w:rsidRDefault="004820A7" w:rsidP="002C18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2C18B2" w:rsidRPr="00422742" w:rsidTr="00422742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C18B2" w:rsidRPr="00422742" w:rsidRDefault="002C18B2" w:rsidP="002C18B2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42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Default="002C18B2" w:rsidP="002C18B2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422742">
              <w:rPr>
                <w:sz w:val="24"/>
                <w:szCs w:val="24"/>
                <w:lang w:val="la-Latn"/>
              </w:rPr>
              <w:t>2716</w:t>
            </w:r>
          </w:p>
          <w:p w:rsidR="002C18B2" w:rsidRPr="00422742" w:rsidRDefault="002C18B2" w:rsidP="002C18B2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370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Pr="00422742" w:rsidRDefault="002C18B2" w:rsidP="002C18B2">
            <w:pPr>
              <w:spacing w:after="0"/>
              <w:rPr>
                <w:sz w:val="24"/>
                <w:szCs w:val="24"/>
              </w:rPr>
            </w:pPr>
            <w:r w:rsidRPr="00422742">
              <w:rPr>
                <w:sz w:val="24"/>
                <w:szCs w:val="24"/>
                <w:lang w:val="la-Latn"/>
              </w:rPr>
              <w:t>Električna energija</w:t>
            </w:r>
          </w:p>
          <w:p w:rsidR="002C18B2" w:rsidRPr="00422742" w:rsidRDefault="002C18B2" w:rsidP="002C18B2">
            <w:pPr>
              <w:spacing w:after="0"/>
              <w:rPr>
                <w:sz w:val="24"/>
                <w:szCs w:val="24"/>
                <w:lang w:val="la-Latn"/>
              </w:rPr>
            </w:pPr>
          </w:p>
        </w:tc>
        <w:tc>
          <w:tcPr>
            <w:tcW w:w="180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Pr="002A5CA6" w:rsidRDefault="002A5CA6" w:rsidP="002C18B2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2A5CA6">
              <w:rPr>
                <w:sz w:val="24"/>
                <w:szCs w:val="24"/>
                <w:lang w:eastAsia="hr-HR"/>
              </w:rPr>
              <w:t>29.341.611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C18B2" w:rsidRPr="00422742" w:rsidRDefault="004820A7" w:rsidP="002C18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2A5CA6" w:rsidRPr="00422742" w:rsidTr="001F0322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A5CA6" w:rsidRPr="00422742" w:rsidRDefault="002A5CA6" w:rsidP="002A5CA6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42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5CA6" w:rsidRDefault="002A5CA6" w:rsidP="002A5CA6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422742">
              <w:rPr>
                <w:sz w:val="24"/>
                <w:szCs w:val="24"/>
                <w:lang w:val="la-Latn"/>
              </w:rPr>
              <w:t>3004</w:t>
            </w:r>
          </w:p>
          <w:p w:rsidR="002A5CA6" w:rsidRPr="00422742" w:rsidRDefault="002A5CA6" w:rsidP="002A5CA6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</w:p>
        </w:tc>
        <w:tc>
          <w:tcPr>
            <w:tcW w:w="370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5CA6" w:rsidRDefault="002A5CA6" w:rsidP="002A5CA6">
            <w:pPr>
              <w:spacing w:after="0"/>
              <w:rPr>
                <w:sz w:val="24"/>
                <w:szCs w:val="24"/>
                <w:lang w:val="la-Latn"/>
              </w:rPr>
            </w:pPr>
            <w:r w:rsidRPr="00422742">
              <w:rPr>
                <w:sz w:val="24"/>
                <w:szCs w:val="24"/>
                <w:lang w:val="la-Latn"/>
              </w:rPr>
              <w:t xml:space="preserve">Lijekovi </w:t>
            </w:r>
          </w:p>
          <w:p w:rsidR="002A5CA6" w:rsidRPr="00422742" w:rsidRDefault="002A5CA6" w:rsidP="002A5CA6">
            <w:pPr>
              <w:spacing w:after="0"/>
              <w:rPr>
                <w:sz w:val="24"/>
                <w:szCs w:val="24"/>
                <w:lang w:val="la-Latn"/>
              </w:rPr>
            </w:pPr>
          </w:p>
        </w:tc>
        <w:tc>
          <w:tcPr>
            <w:tcW w:w="180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bottom"/>
          </w:tcPr>
          <w:p w:rsidR="002A5CA6" w:rsidRPr="002A5CA6" w:rsidRDefault="002A5CA6" w:rsidP="002A5CA6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2A5CA6">
              <w:rPr>
                <w:sz w:val="24"/>
                <w:szCs w:val="24"/>
                <w:lang w:eastAsia="hr-HR"/>
              </w:rPr>
              <w:t>28.108.928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5CA6" w:rsidRPr="00422742" w:rsidRDefault="004820A7" w:rsidP="002A5C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2A5CA6" w:rsidRPr="00422742" w:rsidTr="00422742">
        <w:trPr>
          <w:trHeight w:val="392"/>
          <w:tblCellSpacing w:w="20" w:type="dxa"/>
        </w:trPr>
        <w:tc>
          <w:tcPr>
            <w:tcW w:w="5915" w:type="dxa"/>
            <w:gridSpan w:val="3"/>
            <w:shd w:val="clear" w:color="auto" w:fill="FFFFFF"/>
            <w:vAlign w:val="center"/>
          </w:tcPr>
          <w:p w:rsidR="002A5CA6" w:rsidRPr="00422742" w:rsidRDefault="002A5CA6" w:rsidP="002A5CA6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2A5CA6" w:rsidRPr="00422742" w:rsidRDefault="004820A7" w:rsidP="002A5C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319.643.997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2A5CA6" w:rsidRPr="00422742" w:rsidRDefault="004820A7" w:rsidP="004820A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A5CA6" w:rsidRPr="0042274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2A5CA6" w:rsidRPr="00422742" w:rsidTr="00422742">
        <w:trPr>
          <w:trHeight w:val="392"/>
          <w:tblCellSpacing w:w="20" w:type="dxa"/>
        </w:trPr>
        <w:tc>
          <w:tcPr>
            <w:tcW w:w="5915" w:type="dxa"/>
            <w:gridSpan w:val="3"/>
            <w:shd w:val="clear" w:color="auto" w:fill="FFFFFF"/>
            <w:vAlign w:val="center"/>
          </w:tcPr>
          <w:p w:rsidR="002A5CA6" w:rsidRPr="00422742" w:rsidRDefault="002A5CA6" w:rsidP="002A5CA6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42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2A5CA6" w:rsidRPr="00422742" w:rsidRDefault="002A5CA6" w:rsidP="00AA118F">
            <w:pPr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422742">
              <w:rPr>
                <w:b/>
                <w:sz w:val="24"/>
                <w:szCs w:val="24"/>
              </w:rPr>
              <w:t>2.</w:t>
            </w:r>
            <w:r w:rsidR="00DB2289">
              <w:rPr>
                <w:b/>
                <w:sz w:val="24"/>
                <w:szCs w:val="24"/>
              </w:rPr>
              <w:t>204</w:t>
            </w:r>
            <w:r w:rsidRPr="00422742">
              <w:rPr>
                <w:b/>
                <w:sz w:val="24"/>
                <w:szCs w:val="24"/>
              </w:rPr>
              <w:t>.</w:t>
            </w:r>
            <w:r w:rsidR="00AA118F">
              <w:rPr>
                <w:b/>
                <w:sz w:val="24"/>
                <w:szCs w:val="24"/>
              </w:rPr>
              <w:t>168</w:t>
            </w:r>
            <w:r w:rsidRPr="00422742">
              <w:rPr>
                <w:b/>
                <w:sz w:val="24"/>
                <w:szCs w:val="24"/>
              </w:rPr>
              <w:t>.</w:t>
            </w:r>
            <w:r w:rsidR="00AA118F"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2A5CA6" w:rsidRPr="00422742" w:rsidRDefault="002A5CA6" w:rsidP="002A5CA6">
            <w:pPr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422742">
              <w:rPr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2166D3" w:rsidRPr="00422742" w:rsidRDefault="00481EEC">
      <w:pPr>
        <w:rPr>
          <w:i/>
          <w:lang w:val="la-Latn"/>
        </w:rPr>
      </w:pPr>
      <w:r w:rsidRPr="00422742">
        <w:rPr>
          <w:i/>
          <w:lang w:val="la-Latn"/>
        </w:rPr>
        <w:t xml:space="preserve">Izvor: </w:t>
      </w:r>
      <w:r w:rsidR="00262FC7" w:rsidRPr="00422742">
        <w:rPr>
          <w:i/>
          <w:lang w:val="la-Latn"/>
        </w:rPr>
        <w:t>DZS</w:t>
      </w:r>
    </w:p>
    <w:p w:rsidR="002166D3" w:rsidRPr="00422742" w:rsidRDefault="002166D3" w:rsidP="002166D3">
      <w:pPr>
        <w:rPr>
          <w:rFonts w:ascii="Times New Roman" w:hAnsi="Times New Roman"/>
          <w:i/>
          <w:lang w:val="la-Latn"/>
        </w:rPr>
      </w:pPr>
    </w:p>
    <w:p w:rsidR="002166D3" w:rsidRPr="00422742" w:rsidRDefault="002166D3" w:rsidP="0021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22742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AD0F56" w:rsidRPr="00422742" w:rsidRDefault="00AD0F56" w:rsidP="00AD0F56">
      <w:pPr>
        <w:numPr>
          <w:ilvl w:val="0"/>
          <w:numId w:val="3"/>
        </w:numPr>
        <w:spacing w:before="240"/>
        <w:rPr>
          <w:rFonts w:eastAsia="Arial"/>
          <w:b/>
          <w:sz w:val="24"/>
          <w:szCs w:val="24"/>
          <w:lang w:val="la-Latn"/>
        </w:rPr>
      </w:pPr>
      <w:r w:rsidRPr="00422742">
        <w:rPr>
          <w:rFonts w:eastAsia="Arial"/>
          <w:b/>
          <w:sz w:val="24"/>
          <w:szCs w:val="24"/>
          <w:lang w:val="la-Latn"/>
        </w:rPr>
        <w:t>Sporazum o trgovinsko-gospodarskim odnosima i suradnji</w:t>
      </w:r>
      <w:r w:rsidRPr="00422742">
        <w:rPr>
          <w:rFonts w:eastAsia="Arial"/>
          <w:sz w:val="24"/>
          <w:szCs w:val="24"/>
          <w:lang w:val="la-Latn"/>
        </w:rPr>
        <w:t xml:space="preserve"> </w:t>
      </w:r>
      <w:r w:rsidRPr="00422742">
        <w:rPr>
          <w:rFonts w:eastAsia="Arial"/>
          <w:i/>
          <w:sz w:val="24"/>
          <w:szCs w:val="24"/>
          <w:lang w:val="la-Latn"/>
        </w:rPr>
        <w:t xml:space="preserve">(potpisan 7.2.1994.; stupio na snagu 25.8.1994.) Ulaskom Slovenije u EU bilo je potrebno ovaj Ugovor promijeniti i uskladiti s pravnim sustavom EU, čime bi u praksi prestale vrijediti trgovinske odredbe Sporazuma. Vlada RH je 15. listopada 2004. godine donijela Odluku za sklapanje </w:t>
      </w:r>
      <w:r w:rsidRPr="00422742">
        <w:rPr>
          <w:rFonts w:eastAsia="Arial"/>
          <w:b/>
          <w:i/>
          <w:sz w:val="24"/>
          <w:szCs w:val="24"/>
          <w:lang w:val="la-Latn"/>
        </w:rPr>
        <w:t>Sporazuma o izmjenama i dopunama Sporazuma o trgovinsko-gospodarskim odnosima i suradnji</w:t>
      </w:r>
      <w:r w:rsidRPr="00422742">
        <w:rPr>
          <w:rFonts w:eastAsia="Arial"/>
          <w:i/>
          <w:sz w:val="24"/>
          <w:szCs w:val="24"/>
          <w:lang w:val="la-Latn"/>
        </w:rPr>
        <w:t xml:space="preserve">, koji je potpisan 10. lipnja 2005. godine, a stupio je na snagu 7. veljače 2006. godine. Temeljem navedenoga promijenjen je i naziv ovog sporazuma koji se sada zove </w:t>
      </w:r>
      <w:r w:rsidRPr="00422742">
        <w:rPr>
          <w:rFonts w:eastAsia="Arial"/>
          <w:b/>
          <w:i/>
          <w:sz w:val="24"/>
          <w:szCs w:val="24"/>
          <w:lang w:val="la-Latn"/>
        </w:rPr>
        <w:t xml:space="preserve">Sporazum o gospodarskim odnosima i suradnji. </w:t>
      </w:r>
    </w:p>
    <w:p w:rsidR="00AD0F56" w:rsidRPr="00422742" w:rsidRDefault="00AD0F56" w:rsidP="00AD0F56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422742">
        <w:rPr>
          <w:rFonts w:eastAsia="Arial"/>
          <w:b/>
          <w:sz w:val="24"/>
          <w:szCs w:val="24"/>
          <w:lang w:val="la-Latn"/>
        </w:rPr>
        <w:t xml:space="preserve">Ugovor o izbjegavanju dvostrukog oporezivanja porezima na dohodak i imovinu </w:t>
      </w:r>
      <w:r w:rsidRPr="00422742">
        <w:rPr>
          <w:rFonts w:eastAsia="Arial"/>
          <w:i/>
          <w:sz w:val="24"/>
          <w:szCs w:val="24"/>
          <w:lang w:val="la-Latn"/>
        </w:rPr>
        <w:t>(potpisan 10.6.2005.; stupio na snagu  10.11.2005.)</w:t>
      </w:r>
    </w:p>
    <w:p w:rsidR="00AD0F56" w:rsidRPr="00422742" w:rsidRDefault="00AD0F56" w:rsidP="00AD0F56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422742">
        <w:rPr>
          <w:rFonts w:eastAsia="Arial"/>
          <w:b/>
          <w:sz w:val="24"/>
          <w:szCs w:val="24"/>
          <w:lang w:val="la-Latn"/>
        </w:rPr>
        <w:t>Sporazum o prijevozu putnika i stvari u međunarodnom cestovnom prometu</w:t>
      </w:r>
      <w:r w:rsidRPr="00422742">
        <w:rPr>
          <w:rFonts w:eastAsia="Arial"/>
          <w:sz w:val="24"/>
          <w:szCs w:val="24"/>
          <w:lang w:val="la-Latn"/>
        </w:rPr>
        <w:t xml:space="preserve"> </w:t>
      </w:r>
      <w:r w:rsidRPr="00422742">
        <w:rPr>
          <w:rFonts w:eastAsia="Arial"/>
          <w:i/>
          <w:sz w:val="24"/>
          <w:szCs w:val="24"/>
          <w:lang w:val="la-Latn"/>
        </w:rPr>
        <w:t>(potpisan 14.7.1992.; stupio na snagu 14.1.1994.)</w:t>
      </w:r>
    </w:p>
    <w:p w:rsidR="00AD0F56" w:rsidRPr="00422742" w:rsidRDefault="00AD0F56" w:rsidP="00AD0F56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422742">
        <w:rPr>
          <w:rFonts w:eastAsia="Arial"/>
          <w:b/>
          <w:sz w:val="24"/>
          <w:szCs w:val="24"/>
          <w:lang w:val="la-Latn"/>
        </w:rPr>
        <w:t>Sporazum o redovitom zračnom prometu</w:t>
      </w:r>
      <w:r w:rsidRPr="00422742">
        <w:rPr>
          <w:rFonts w:eastAsia="Arial"/>
          <w:sz w:val="24"/>
          <w:szCs w:val="24"/>
          <w:lang w:val="la-Latn"/>
        </w:rPr>
        <w:t xml:space="preserve"> </w:t>
      </w:r>
      <w:r w:rsidRPr="00422742">
        <w:rPr>
          <w:rFonts w:eastAsia="Arial"/>
          <w:i/>
          <w:sz w:val="24"/>
          <w:szCs w:val="24"/>
          <w:lang w:val="la-Latn"/>
        </w:rPr>
        <w:t>(potpisan 8.7.1994., stupio na snagu 1.2.1995.; Postoji dodatak Sporazumu od 1.6.2000.)</w:t>
      </w:r>
    </w:p>
    <w:p w:rsidR="002166D3" w:rsidRPr="00FC1589" w:rsidRDefault="00AD0F56" w:rsidP="00202C20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FC1589">
        <w:rPr>
          <w:rFonts w:eastAsia="Arial"/>
          <w:b/>
          <w:sz w:val="24"/>
          <w:szCs w:val="24"/>
          <w:lang w:val="la-Latn"/>
        </w:rPr>
        <w:t>Sporazum o obavljanju željezničkog prometa preko državne granice</w:t>
      </w:r>
      <w:r w:rsidRPr="00FC1589">
        <w:rPr>
          <w:rFonts w:eastAsia="Arial"/>
          <w:sz w:val="24"/>
          <w:szCs w:val="24"/>
          <w:lang w:val="la-Latn"/>
        </w:rPr>
        <w:t xml:space="preserve"> </w:t>
      </w:r>
      <w:r w:rsidRPr="00FC1589">
        <w:rPr>
          <w:rFonts w:eastAsia="Arial"/>
          <w:i/>
          <w:sz w:val="24"/>
          <w:szCs w:val="24"/>
          <w:lang w:val="la-Latn"/>
        </w:rPr>
        <w:t>(potpisan 2.4.1997.; stupio na snagu 12.12.2002.)</w:t>
      </w:r>
    </w:p>
    <w:p w:rsidR="00B937D0" w:rsidRPr="00422742" w:rsidRDefault="00B937D0" w:rsidP="002166D3">
      <w:pPr>
        <w:rPr>
          <w:rFonts w:eastAsia="Arial"/>
          <w:sz w:val="24"/>
          <w:szCs w:val="24"/>
          <w:lang w:val="la-Latn"/>
        </w:rPr>
      </w:pPr>
    </w:p>
    <w:p w:rsidR="002166D3" w:rsidRPr="00422742" w:rsidRDefault="002166D3" w:rsidP="0021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22742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102AB0" w:rsidRPr="00422742" w:rsidRDefault="00102AB0" w:rsidP="00102AB0">
      <w:pPr>
        <w:pStyle w:val="ListParagraph"/>
        <w:numPr>
          <w:ilvl w:val="0"/>
          <w:numId w:val="4"/>
        </w:numPr>
        <w:spacing w:before="240"/>
        <w:rPr>
          <w:rFonts w:eastAsia="Arial"/>
          <w:sz w:val="24"/>
          <w:szCs w:val="24"/>
          <w:lang w:val="la-Latn"/>
        </w:rPr>
      </w:pPr>
      <w:r w:rsidRPr="00422742">
        <w:rPr>
          <w:rFonts w:eastAsia="Arial"/>
          <w:sz w:val="24"/>
          <w:szCs w:val="24"/>
          <w:lang w:val="la-Latn"/>
        </w:rPr>
        <w:t xml:space="preserve">Hrvatsko-slovenski poslovni klub:  </w:t>
      </w:r>
      <w:hyperlink r:id="rId7" w:history="1">
        <w:r w:rsidRPr="00422742">
          <w:rPr>
            <w:rStyle w:val="Hyperlink"/>
            <w:color w:val="auto"/>
            <w:sz w:val="24"/>
            <w:szCs w:val="24"/>
            <w:lang w:val="la-Latn"/>
          </w:rPr>
          <w:t>www.</w:t>
        </w:r>
        <w:r w:rsidRPr="00422742">
          <w:rPr>
            <w:rStyle w:val="Hyperlink"/>
            <w:bCs/>
            <w:color w:val="auto"/>
            <w:sz w:val="24"/>
            <w:szCs w:val="24"/>
            <w:lang w:val="la-Latn"/>
          </w:rPr>
          <w:t>poslovniklub</w:t>
        </w:r>
        <w:r w:rsidRPr="00422742">
          <w:rPr>
            <w:rStyle w:val="Hyperlink"/>
            <w:color w:val="auto"/>
            <w:sz w:val="24"/>
            <w:szCs w:val="24"/>
            <w:lang w:val="la-Latn"/>
          </w:rPr>
          <w:t>-shg.hr</w:t>
        </w:r>
      </w:hyperlink>
      <w:r w:rsidRPr="00422742">
        <w:rPr>
          <w:rStyle w:val="HTMLCite"/>
          <w:color w:val="auto"/>
          <w:sz w:val="24"/>
          <w:szCs w:val="24"/>
          <w:lang w:val="la-Latn"/>
        </w:rPr>
        <w:t xml:space="preserve"> </w:t>
      </w:r>
    </w:p>
    <w:p w:rsidR="002166D3" w:rsidRPr="00422742" w:rsidRDefault="002166D3" w:rsidP="002166D3">
      <w:pPr>
        <w:rPr>
          <w:rFonts w:eastAsia="Arial"/>
          <w:sz w:val="24"/>
          <w:szCs w:val="24"/>
          <w:lang w:val="la-Latn"/>
        </w:rPr>
      </w:pPr>
    </w:p>
    <w:p w:rsidR="002166D3" w:rsidRPr="00422742" w:rsidRDefault="002166D3" w:rsidP="0021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22742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2166D3" w:rsidRPr="00422742" w:rsidRDefault="002166D3" w:rsidP="00B937D0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</w:p>
    <w:p w:rsidR="002166D3" w:rsidRPr="00422742" w:rsidRDefault="002166D3" w:rsidP="00B937D0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422742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422742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422742">
        <w:rPr>
          <w:sz w:val="24"/>
          <w:szCs w:val="24"/>
          <w:lang w:val="la-Latn"/>
        </w:rPr>
        <w:t xml:space="preserve"> </w:t>
      </w:r>
      <w:r w:rsidRPr="00422742">
        <w:rPr>
          <w:sz w:val="24"/>
          <w:szCs w:val="24"/>
          <w:lang w:val="la-Latn"/>
        </w:rPr>
        <w:br/>
        <w:t xml:space="preserve">Najave sajmova: </w:t>
      </w:r>
      <w:hyperlink r:id="rId9" w:history="1">
        <w:r w:rsidRPr="00422742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422742">
        <w:rPr>
          <w:sz w:val="24"/>
          <w:szCs w:val="24"/>
          <w:lang w:val="la-Latn"/>
        </w:rPr>
        <w:t xml:space="preserve"> </w:t>
      </w:r>
    </w:p>
    <w:p w:rsidR="002166D3" w:rsidRPr="00422742" w:rsidRDefault="002166D3" w:rsidP="002166D3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2166D3" w:rsidRPr="00422742" w:rsidRDefault="002166D3" w:rsidP="0021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22742">
        <w:rPr>
          <w:rFonts w:eastAsia="Arial"/>
          <w:b/>
          <w:sz w:val="24"/>
          <w:szCs w:val="24"/>
          <w:lang w:val="la-Latn"/>
        </w:rPr>
        <w:t>Posebne napomene</w:t>
      </w:r>
    </w:p>
    <w:p w:rsidR="002166D3" w:rsidRPr="00422742" w:rsidRDefault="002166D3" w:rsidP="002166D3">
      <w:pPr>
        <w:jc w:val="left"/>
        <w:rPr>
          <w:rFonts w:eastAsia="Arial"/>
          <w:sz w:val="24"/>
          <w:szCs w:val="24"/>
          <w:lang w:val="la-Latn"/>
        </w:rPr>
      </w:pPr>
    </w:p>
    <w:p w:rsidR="002166D3" w:rsidRPr="00422742" w:rsidRDefault="002166D3" w:rsidP="002166D3">
      <w:pPr>
        <w:jc w:val="left"/>
        <w:rPr>
          <w:sz w:val="24"/>
          <w:szCs w:val="24"/>
          <w:lang w:val="la-Latn"/>
        </w:rPr>
      </w:pPr>
      <w:r w:rsidRPr="00422742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422742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2166D3" w:rsidRPr="00422742" w:rsidRDefault="00B150FD" w:rsidP="002166D3">
      <w:pPr>
        <w:rPr>
          <w:rFonts w:eastAsia="Arial"/>
          <w:sz w:val="24"/>
          <w:szCs w:val="24"/>
          <w:lang w:val="la-Latn"/>
        </w:rPr>
      </w:pPr>
      <w:r w:rsidRPr="00422742">
        <w:rPr>
          <w:rFonts w:eastAsia="Arial"/>
          <w:sz w:val="24"/>
          <w:szCs w:val="24"/>
          <w:lang w:val="la-Latn"/>
        </w:rPr>
        <w:t>Zahtjev za podršku</w:t>
      </w:r>
      <w:r w:rsidR="002166D3" w:rsidRPr="00422742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2166D3" w:rsidRPr="00422742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2166D3" w:rsidRPr="00422742">
        <w:rPr>
          <w:rFonts w:eastAsia="Arial"/>
          <w:sz w:val="24"/>
          <w:szCs w:val="24"/>
          <w:lang w:val="la-Latn"/>
        </w:rPr>
        <w:t xml:space="preserve"> </w:t>
      </w:r>
    </w:p>
    <w:p w:rsidR="002166D3" w:rsidRPr="00422742" w:rsidRDefault="002166D3" w:rsidP="002166D3">
      <w:pPr>
        <w:rPr>
          <w:rFonts w:ascii="Times New Roman" w:hAnsi="Times New Roman" w:cs="Times New Roman"/>
          <w:sz w:val="24"/>
          <w:szCs w:val="24"/>
          <w:lang w:val="la-Latn"/>
        </w:rPr>
      </w:pPr>
    </w:p>
    <w:p w:rsidR="002166D3" w:rsidRPr="00422742" w:rsidRDefault="002166D3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2166D3" w:rsidRPr="00422742" w:rsidSect="00952DFB">
      <w:footerReference w:type="defaul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01" w:rsidRDefault="00DE7401" w:rsidP="0042299E">
      <w:pPr>
        <w:spacing w:after="0"/>
      </w:pPr>
      <w:r>
        <w:separator/>
      </w:r>
    </w:p>
  </w:endnote>
  <w:endnote w:type="continuationSeparator" w:id="0">
    <w:p w:rsidR="00DE7401" w:rsidRDefault="00DE7401" w:rsidP="004229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9E" w:rsidRDefault="0042299E" w:rsidP="0042299E"/>
  <w:p w:rsidR="0042299E" w:rsidRDefault="0042299E" w:rsidP="0042299E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38466C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38466C">
      <w:rPr>
        <w:noProof/>
      </w:rPr>
      <w:t>2</w:t>
    </w:r>
    <w:r>
      <w:fldChar w:fldCharType="end"/>
    </w:r>
  </w:p>
  <w:p w:rsidR="0042299E" w:rsidRDefault="00422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01" w:rsidRDefault="00DE7401" w:rsidP="0042299E">
      <w:pPr>
        <w:spacing w:after="0"/>
      </w:pPr>
      <w:r>
        <w:separator/>
      </w:r>
    </w:p>
  </w:footnote>
  <w:footnote w:type="continuationSeparator" w:id="0">
    <w:p w:rsidR="00DE7401" w:rsidRDefault="00DE7401" w:rsidP="004229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714A7245"/>
    <w:multiLevelType w:val="hybridMultilevel"/>
    <w:tmpl w:val="2F180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31EB6"/>
    <w:multiLevelType w:val="hybridMultilevel"/>
    <w:tmpl w:val="C1F0AB28"/>
    <w:lvl w:ilvl="0" w:tplc="89C4B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F342B7"/>
    <w:multiLevelType w:val="hybridMultilevel"/>
    <w:tmpl w:val="6E8E95B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876632"/>
    <w:multiLevelType w:val="hybridMultilevel"/>
    <w:tmpl w:val="9E0E10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29A9"/>
    <w:rsid w:val="00016137"/>
    <w:rsid w:val="00016C5C"/>
    <w:rsid w:val="00017CC9"/>
    <w:rsid w:val="00023EAC"/>
    <w:rsid w:val="0004085E"/>
    <w:rsid w:val="00041107"/>
    <w:rsid w:val="00046BB3"/>
    <w:rsid w:val="0007488C"/>
    <w:rsid w:val="000830C0"/>
    <w:rsid w:val="000C3A45"/>
    <w:rsid w:val="000E591D"/>
    <w:rsid w:val="000E721B"/>
    <w:rsid w:val="0010177F"/>
    <w:rsid w:val="00102AB0"/>
    <w:rsid w:val="00112D7A"/>
    <w:rsid w:val="00125F80"/>
    <w:rsid w:val="00136F26"/>
    <w:rsid w:val="00137E3F"/>
    <w:rsid w:val="00142636"/>
    <w:rsid w:val="00144D90"/>
    <w:rsid w:val="00150C77"/>
    <w:rsid w:val="00161404"/>
    <w:rsid w:val="00166A44"/>
    <w:rsid w:val="00181837"/>
    <w:rsid w:val="001A09C8"/>
    <w:rsid w:val="001A792D"/>
    <w:rsid w:val="001B3BD9"/>
    <w:rsid w:val="001B6BA6"/>
    <w:rsid w:val="001F7473"/>
    <w:rsid w:val="00201FE4"/>
    <w:rsid w:val="002166D3"/>
    <w:rsid w:val="00226658"/>
    <w:rsid w:val="002369CB"/>
    <w:rsid w:val="002455B9"/>
    <w:rsid w:val="00253242"/>
    <w:rsid w:val="00262FC7"/>
    <w:rsid w:val="00266E82"/>
    <w:rsid w:val="002802BF"/>
    <w:rsid w:val="00287410"/>
    <w:rsid w:val="0029769F"/>
    <w:rsid w:val="002A362F"/>
    <w:rsid w:val="002A5CA6"/>
    <w:rsid w:val="002C18B2"/>
    <w:rsid w:val="002D06BF"/>
    <w:rsid w:val="002D66ED"/>
    <w:rsid w:val="002E21E2"/>
    <w:rsid w:val="002E25A3"/>
    <w:rsid w:val="002F40BC"/>
    <w:rsid w:val="003128C6"/>
    <w:rsid w:val="0038466C"/>
    <w:rsid w:val="0038789E"/>
    <w:rsid w:val="003C0E65"/>
    <w:rsid w:val="003C631B"/>
    <w:rsid w:val="003E531F"/>
    <w:rsid w:val="003E5A3E"/>
    <w:rsid w:val="00401B12"/>
    <w:rsid w:val="00410078"/>
    <w:rsid w:val="004119A5"/>
    <w:rsid w:val="00422742"/>
    <w:rsid w:val="0042299E"/>
    <w:rsid w:val="00443C18"/>
    <w:rsid w:val="004555A1"/>
    <w:rsid w:val="00463CFE"/>
    <w:rsid w:val="00464C3F"/>
    <w:rsid w:val="00472B51"/>
    <w:rsid w:val="00481EEC"/>
    <w:rsid w:val="004820A7"/>
    <w:rsid w:val="00487F31"/>
    <w:rsid w:val="004A1323"/>
    <w:rsid w:val="004A6E1E"/>
    <w:rsid w:val="004B512B"/>
    <w:rsid w:val="004D3C2A"/>
    <w:rsid w:val="004D797B"/>
    <w:rsid w:val="004F043E"/>
    <w:rsid w:val="004F5828"/>
    <w:rsid w:val="0051226A"/>
    <w:rsid w:val="00512A67"/>
    <w:rsid w:val="0051609C"/>
    <w:rsid w:val="00531C96"/>
    <w:rsid w:val="00541EAE"/>
    <w:rsid w:val="00551D96"/>
    <w:rsid w:val="00557994"/>
    <w:rsid w:val="00562664"/>
    <w:rsid w:val="00567F8A"/>
    <w:rsid w:val="005A0D18"/>
    <w:rsid w:val="005A1392"/>
    <w:rsid w:val="005B1645"/>
    <w:rsid w:val="005B1DE5"/>
    <w:rsid w:val="005C0935"/>
    <w:rsid w:val="005C2E53"/>
    <w:rsid w:val="005C53B7"/>
    <w:rsid w:val="005E006D"/>
    <w:rsid w:val="00613537"/>
    <w:rsid w:val="00623D33"/>
    <w:rsid w:val="00637E33"/>
    <w:rsid w:val="00637F83"/>
    <w:rsid w:val="00685C62"/>
    <w:rsid w:val="00686A9B"/>
    <w:rsid w:val="00686F1C"/>
    <w:rsid w:val="00687BAC"/>
    <w:rsid w:val="006A6D22"/>
    <w:rsid w:val="006B5868"/>
    <w:rsid w:val="006E6E92"/>
    <w:rsid w:val="006E791F"/>
    <w:rsid w:val="0072461A"/>
    <w:rsid w:val="0073215B"/>
    <w:rsid w:val="00742AF8"/>
    <w:rsid w:val="00746C28"/>
    <w:rsid w:val="00750888"/>
    <w:rsid w:val="0075496A"/>
    <w:rsid w:val="00755C73"/>
    <w:rsid w:val="00761D25"/>
    <w:rsid w:val="0077295D"/>
    <w:rsid w:val="00780AC9"/>
    <w:rsid w:val="00785AD8"/>
    <w:rsid w:val="00786790"/>
    <w:rsid w:val="00790CF0"/>
    <w:rsid w:val="007A2ED5"/>
    <w:rsid w:val="007B3218"/>
    <w:rsid w:val="007D457E"/>
    <w:rsid w:val="007E4C7B"/>
    <w:rsid w:val="007E7C50"/>
    <w:rsid w:val="007F571C"/>
    <w:rsid w:val="0080740D"/>
    <w:rsid w:val="008106B2"/>
    <w:rsid w:val="00816D06"/>
    <w:rsid w:val="00830545"/>
    <w:rsid w:val="0084325E"/>
    <w:rsid w:val="0084381B"/>
    <w:rsid w:val="00853C98"/>
    <w:rsid w:val="00880125"/>
    <w:rsid w:val="00892A71"/>
    <w:rsid w:val="0089382A"/>
    <w:rsid w:val="008B2066"/>
    <w:rsid w:val="008C1E5B"/>
    <w:rsid w:val="008C2593"/>
    <w:rsid w:val="008C3671"/>
    <w:rsid w:val="008D4C4E"/>
    <w:rsid w:val="008F4A49"/>
    <w:rsid w:val="00914BE8"/>
    <w:rsid w:val="00916CBE"/>
    <w:rsid w:val="009348FC"/>
    <w:rsid w:val="0094650B"/>
    <w:rsid w:val="00952DFB"/>
    <w:rsid w:val="00964AEC"/>
    <w:rsid w:val="00967E81"/>
    <w:rsid w:val="009727A1"/>
    <w:rsid w:val="009B3F32"/>
    <w:rsid w:val="009B4576"/>
    <w:rsid w:val="009C09BD"/>
    <w:rsid w:val="009C3F51"/>
    <w:rsid w:val="009D0442"/>
    <w:rsid w:val="009D4BFB"/>
    <w:rsid w:val="009D4DD6"/>
    <w:rsid w:val="009E0F93"/>
    <w:rsid w:val="009E79F1"/>
    <w:rsid w:val="00A07498"/>
    <w:rsid w:val="00A10C91"/>
    <w:rsid w:val="00A136C8"/>
    <w:rsid w:val="00A158EC"/>
    <w:rsid w:val="00A46DC5"/>
    <w:rsid w:val="00A50822"/>
    <w:rsid w:val="00A548B3"/>
    <w:rsid w:val="00A62F45"/>
    <w:rsid w:val="00A728F4"/>
    <w:rsid w:val="00A73D87"/>
    <w:rsid w:val="00A94009"/>
    <w:rsid w:val="00AA118F"/>
    <w:rsid w:val="00AA2134"/>
    <w:rsid w:val="00AA658F"/>
    <w:rsid w:val="00AA7FFA"/>
    <w:rsid w:val="00AB4A7A"/>
    <w:rsid w:val="00AB68B9"/>
    <w:rsid w:val="00AC32FB"/>
    <w:rsid w:val="00AC420E"/>
    <w:rsid w:val="00AD0F56"/>
    <w:rsid w:val="00AD12B8"/>
    <w:rsid w:val="00AD4149"/>
    <w:rsid w:val="00AD7339"/>
    <w:rsid w:val="00AE3D0F"/>
    <w:rsid w:val="00AF0E5E"/>
    <w:rsid w:val="00B00401"/>
    <w:rsid w:val="00B024FE"/>
    <w:rsid w:val="00B06E76"/>
    <w:rsid w:val="00B108CF"/>
    <w:rsid w:val="00B150FB"/>
    <w:rsid w:val="00B150FD"/>
    <w:rsid w:val="00B40AFB"/>
    <w:rsid w:val="00B4436A"/>
    <w:rsid w:val="00B47DEA"/>
    <w:rsid w:val="00B60DF6"/>
    <w:rsid w:val="00B648B7"/>
    <w:rsid w:val="00B80800"/>
    <w:rsid w:val="00B90001"/>
    <w:rsid w:val="00B92A84"/>
    <w:rsid w:val="00B937D0"/>
    <w:rsid w:val="00BA447C"/>
    <w:rsid w:val="00BC36B5"/>
    <w:rsid w:val="00BF29BC"/>
    <w:rsid w:val="00C135A8"/>
    <w:rsid w:val="00C2024C"/>
    <w:rsid w:val="00C42BB9"/>
    <w:rsid w:val="00C7046B"/>
    <w:rsid w:val="00C7582A"/>
    <w:rsid w:val="00CA08CB"/>
    <w:rsid w:val="00CB26BD"/>
    <w:rsid w:val="00CB5DB1"/>
    <w:rsid w:val="00CB7E10"/>
    <w:rsid w:val="00CC1F27"/>
    <w:rsid w:val="00CD3D2B"/>
    <w:rsid w:val="00D05819"/>
    <w:rsid w:val="00D22751"/>
    <w:rsid w:val="00D41D2C"/>
    <w:rsid w:val="00D51EDC"/>
    <w:rsid w:val="00D87B4C"/>
    <w:rsid w:val="00D936F8"/>
    <w:rsid w:val="00DB2289"/>
    <w:rsid w:val="00DD63C1"/>
    <w:rsid w:val="00DE7401"/>
    <w:rsid w:val="00DF23B5"/>
    <w:rsid w:val="00E10BC3"/>
    <w:rsid w:val="00E147CB"/>
    <w:rsid w:val="00E214E0"/>
    <w:rsid w:val="00E37E4F"/>
    <w:rsid w:val="00EA086A"/>
    <w:rsid w:val="00EB5FAF"/>
    <w:rsid w:val="00EB6365"/>
    <w:rsid w:val="00EC2DED"/>
    <w:rsid w:val="00ED6B4A"/>
    <w:rsid w:val="00EE4C31"/>
    <w:rsid w:val="00F00DB7"/>
    <w:rsid w:val="00F01457"/>
    <w:rsid w:val="00F25A51"/>
    <w:rsid w:val="00F465EB"/>
    <w:rsid w:val="00F51A7D"/>
    <w:rsid w:val="00F83552"/>
    <w:rsid w:val="00FB5127"/>
    <w:rsid w:val="00FC1589"/>
    <w:rsid w:val="00FC2212"/>
    <w:rsid w:val="00FE1B07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777B5-4389-4B48-AC3C-7AF7D0D8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9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299E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229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299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42299E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uiPriority w:val="99"/>
    <w:unhideWhenUsed/>
    <w:rsid w:val="002166D3"/>
    <w:rPr>
      <w:color w:val="0000FF"/>
      <w:u w:val="single"/>
    </w:rPr>
  </w:style>
  <w:style w:type="paragraph" w:customStyle="1" w:styleId="IPodnaslov">
    <w:name w:val="IPodnaslov"/>
    <w:next w:val="INormal"/>
    <w:rsid w:val="00567F8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  <w:ind w:left="0" w:firstLine="0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character" w:styleId="HTMLCite">
    <w:name w:val="HTML Cite"/>
    <w:uiPriority w:val="99"/>
    <w:unhideWhenUsed/>
    <w:rsid w:val="00102AB0"/>
    <w:rPr>
      <w:i w:val="0"/>
      <w:iCs w:val="0"/>
      <w:color w:val="00802A"/>
    </w:rPr>
  </w:style>
  <w:style w:type="paragraph" w:styleId="ListParagraph">
    <w:name w:val="List Paragraph"/>
    <w:basedOn w:val="Normal"/>
    <w:uiPriority w:val="34"/>
    <w:qFormat/>
    <w:rsid w:val="00102AB0"/>
    <w:pPr>
      <w:ind w:left="720"/>
      <w:contextualSpacing/>
    </w:pPr>
  </w:style>
  <w:style w:type="paragraph" w:customStyle="1" w:styleId="IPodnaslov2">
    <w:name w:val="IPodnaslov2"/>
    <w:next w:val="INormal"/>
    <w:rsid w:val="00161404"/>
    <w:pPr>
      <w:keepNext/>
      <w:shd w:val="clear" w:color="auto" w:fill="E6E6E6"/>
      <w:tabs>
        <w:tab w:val="num" w:pos="540"/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nfNote1">
    <w:name w:val="InfNote1"/>
    <w:next w:val="Normal"/>
    <w:rsid w:val="00161404"/>
    <w:pPr>
      <w:spacing w:after="120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IBul1">
    <w:name w:val="IBul1"/>
    <w:rsid w:val="00161404"/>
    <w:pPr>
      <w:numPr>
        <w:numId w:val="5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lovniklub-shg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d.mve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Dračić</dc:creator>
  <cp:lastModifiedBy>Adrian Vukojević</cp:lastModifiedBy>
  <cp:revision>78</cp:revision>
  <dcterms:created xsi:type="dcterms:W3CDTF">2022-10-20T12:30:00Z</dcterms:created>
  <dcterms:modified xsi:type="dcterms:W3CDTF">2022-11-04T14:23:00Z</dcterms:modified>
</cp:coreProperties>
</file>